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P/2969/2018 vom 15. Mai 2020</w:t>
      </w:r>
    </w:p>
    <w:p>
      <w:r>
        <w:t>GE Cour de justice, 2020-05-15, FR</w:t>
      </w:r>
    </w:p>
    <w:p>
      <w:r>
        <w:rPr>
          <w:b/>
        </w:rPr>
        <w:t xml:space="preserve">Quelle: </w:t>
      </w:r>
      <w:r>
        <w:t>https://mcp.opencaselaw.ch/entscheid/ge_gerichte_P_2969_2018</w:t>
      </w:r>
    </w:p>
    <w:p>
      <w:r>
        <w:t>FR: GE_GERICHTE P/2969/2018 du 15 mai 2020</w:t>
      </w:r>
    </w:p>
    <w:p>
      <w:r>
        <w:t>IT: GE_GERICHTE P/2969/2018 del 15 maggio 2020</w:t>
      </w:r>
    </w:p>
    <w:p>
      <w:pPr>
        <w:pStyle w:val="Heading2"/>
      </w:pPr>
      <w:r>
        <w:t>Regeste</w:t>
      </w:r>
    </w:p>
    <w:p>
      <w:r>
        <w:t>ESCROQUERIE;COMPÉTENCE RATIONE LOCI | CPP.310; CP.146; CP.3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considère que la compétence des autorités de poursuite pénales genevoises est donnée s'agissant des infractions dénoncées, et que l'ordonnance de non-entrée en matière ne se justifiait pas.</w:t>
      </w:r>
    </w:p>
    <w:p>
      <w:r>
        <w:rPr>
          <w:b/>
        </w:rPr>
        <w:t>E. 2.1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w:t>
      </w:r>
    </w:p>
    <w:p>
      <w:r>
        <w:rPr>
          <w:b/>
        </w:rPr>
        <w:t>E. 2.3</w:t>
      </w:r>
    </w:p>
    <w:p>
      <w:r>
        <w:t>Aux termes de l'art. 3 al. 1 CP, le Code pénal suisse est applicable à quiconque commet un crime ou un délit en Suisse. En application de l'art. 8 al. 1 CP, un crime où un délit est réputé commis tant au lieu où l'auteur a agi ou aurait dû agir qu'au lieu où le résultat s'est produit. Le lieu où l'auteur a agi ou aurait dû agir est un lieu où il a réalisé l'un des éléments constitutifs de l'infraction. Il suffit qu'il réalise une partie - voire un seul - des actes constitutifs sur le territoire suisse (ATF 144 IV 265 consid. 2..7. ; 141 IV 205 consid. 5.2).</w:t>
      </w:r>
    </w:p>
    <w:p>
      <w:r>
        <w:rPr>
          <w:b/>
        </w:rPr>
        <w:t>E. 2.4</w:t>
      </w:r>
    </w:p>
    <w:p>
      <w:r>
        <w:t>En matière d'escroquerie (art. 146 CP), le Tribunal fédéral a considéré que cette infraction était un délit matériel à double résultat: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 Bâle 2014, p. 915 et ss). À côté du lieu d'appauvrissement de la victime ou de celui de l'enrichissement de l'auteur figurent également le lieu de survenance de l'erreur, soit celui où la dupe est amenée à se forger une représentation erronée de la situation de fait (A. DYENS, op.cit. , p. 282), et le lieu où se trouve l'auteur au moment où il réalise la tromperie astucieuse (arrêt du Tribunal fédéral 6B_635/2018 du 24 octobre 2018 consid. 2.1.3). 2.5.1. En l'espèce, le Ministère public considère que le seul lien avec la Suisse était le domicile du recourant et que celui-ci n'est pas suffisant pour créer un for dans ce pays, de sorte qu'il existerait un empêchement de procéder. Ce raisonnement ne saurait être suivi. En l'occurrence, il ressort des éléments du dossier que le recourant est domicilié en Suisse et que les fonds, dont il s'est dessaisi, étaient déposés sur un compte ouvert auprès de la banque F______, à Genève. La cause s'apparente, qui plus est, à une " problématique internationale ". Dans ces circonstances, le préjudice, soit l'appauvrissement du recourant, a bel et bien eu lieu en Suisse. En outre, il apparaît que ce dernier a correspondu avec le dénommé E______ (échanges de messages électroniques et transmission de documents relatifs à l'emprunt litigieux) depuis Genève, de sorte que la tromperie s'y serait également matérialisée. Ainsi, les autorités suisses, en particulier genevoises, sont compétentes pour conduire une instruction s'agissant des infractions dénoncées. Le fait que le ou les auteur(s) de celles-ci se trouvent à l'étranger n'est pas susceptible de modifier cette compétence. Ce grief sera dès lors admis. 2.5.2. Le Ministère public retient également que le ou les auteur(s) des faits dénoncés n'ont pas pu être formellement identifiés et constate qu'il ne dispose d'aucun élément susceptible d'orienter ses soupçons sur une ou des personnes déterminées. Certes, le ou les auteur(s) de cette infraction demeurent, en l'état, inconnu(s). Si aucun acte d'instruction en Suisse ne semble propre à faire progresser l'enquête, l'envoi d'une commission rogatoire en France, aux fins de localiser et d'entendre le dénommé I______, titulaire du compte ouvert auprès de la Banque N______, sur lequel le recourant a versé des fonds, constitue une démarche adaptée aux circonstances et proportionnée. Il apparaît, en outre, que les coordonnées du dénommé E______ (numéro de téléphone français et adresse électronique) n'ont pas été exploitées en vue de le localiser et, a fortiori, de l'entendre.  Par ailleurs, il ressort du rapport de renseignements de la police du 20 novembre 2019 que seuls H______ et G______ - dont les déclarations n'ont, au demeurant, pas été traduites et, partant, étudiées - ont été entendus par la police belge. Or, l'audition du dénommé "I______" - dont les coordonnées téléphoniques figurent également à la procédure - serait de nature à permettre de récolter des éléments probants. En l'absence de recherche en lien avec ces éléments, le raisonnement de l'autorité précédente ne saurait, dès lors, être suivi. Ainsi, il n'existe, en l'état, aucun empêchement de procéder, ni d'autres motifs autorisant une non-entrée en matière. Il appartiendra dès lors au Ministère public d'entreprendre les actes d'instruction qu'il estimera nécessaires en vue d'identifier le ou les auteur(s) de l'infraction.</w:t>
      </w:r>
    </w:p>
    <w:p>
      <w:r>
        <w:rPr>
          <w:b/>
        </w:rPr>
        <w:t>E. 3</w:t>
      </w:r>
    </w:p>
    <w:p>
      <w:r>
        <w:t>Fondé, le recours doit être admis ; partant, l'ordonnance querellée sera annulée et la cause renvoyée au Ministère public pour instruction.</w:t>
      </w:r>
    </w:p>
    <w:p>
      <w:r>
        <w:rPr>
          <w:b/>
        </w:rPr>
        <w:t>E. 4</w:t>
      </w:r>
    </w:p>
    <w:p>
      <w:r>
        <w:t>L'admission du recours ne donne pas lieu à la perception de frais (art. 428 al. 1 CPP).</w:t>
      </w:r>
    </w:p>
    <w:p>
      <w:r>
        <w:rPr>
          <w:b/>
        </w:rPr>
        <w:t>E. 5</w:t>
      </w:r>
    </w:p>
    <w:p>
      <w:r>
        <w:t>Le recourant, partie plaignante, qui obtient gain de cause, a sollicité une indemnité qu'il a chiffrée à CHF 1'000.- pour ses frais de défense occasionnés par la procédure de recours. Ce montant apparaît adéquat eu égard aux critères régissant sa fixation et sera dès lors mis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