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P/29588/2024 vom 11. Februar 2025</w:t>
      </w:r>
    </w:p>
    <w:p>
      <w:r>
        <w:t>GE Cour de justice, 2025-02-11, FR</w:t>
      </w:r>
    </w:p>
    <w:p>
      <w:r>
        <w:rPr>
          <w:b/>
        </w:rPr>
        <w:t xml:space="preserve">Quelle: </w:t>
      </w:r>
      <w:r>
        <w:t>https://mcp.opencaselaw.ch/entscheid/ge_gerichte_P_29588_2024</w:t>
      </w:r>
    </w:p>
    <w:p>
      <w:r>
        <w:t>FR: GE_GERICHTE P/29588/2024 du 11 février 2025</w:t>
      </w:r>
    </w:p>
    <w:p>
      <w:r>
        <w:t>IT: GE_GERICHTE P/29588/2024 del 11 febbraio 2025</w:t>
      </w:r>
    </w:p>
    <w:p>
      <w:pPr>
        <w:pStyle w:val="Heading2"/>
      </w:pPr>
      <w:r>
        <w:t>Regeste</w:t>
      </w:r>
    </w:p>
    <w:p>
      <w:r>
        <w:t>REJET DE LA DEMANDE;MISE EN LIBERTÉ PROVISOIRE;RISQUE DE COLLUSION | CPP.221; CPP.237.al2.letg</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Il n'y a donc pas à s'y attarder, mais à renvoyer, en tant que de besoin, à la motivation adoptée par le premier juge (art 82 al. 4 CPP; ACPR/747/2020 du 22 octobre 2020 consid. 2 et les références), qui expose les indices graves et concordants pesant sur le recourant.</w:t>
      </w:r>
    </w:p>
    <w:p>
      <w:r>
        <w:rPr>
          <w:b/>
        </w:rPr>
        <w:t>E. 3</w:t>
      </w:r>
    </w:p>
    <w:p>
      <w:r>
        <w:t>Le recourant considère que le risque de collusion est inexistant.</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Il y a risque de collusion lorsque le prévenu tente d'influencer les déclarations que pourraient faire des témoins, des personnes appelées à donner des renseignements ou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tel risque,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l'épouse et le fils du recourant ont certes déjà été confrontés au précité, les 17 janvier et 4 février 2025. Cela étant, l'essentiel des faits est contesté par le recourant. Le risque de collusion les concernant reste ainsi important et concret. Les deux plaignants décrivent en effet de manière concordante l'emprise psychologique que le recourant a exercé sur sa famille, depuis plusieurs années, et le rôle qu'il considère lui revenir vis-à-vis de sa femme et de ses enfants. Ce risque existe sous la forme de pressions, sur sa femme et son fils notamment. Comme relevé par le Ministère public, il faut tenir en particulier compte de l'âge du fils du recourant, tout juste majeur, qui certes dit se sentir soulagé depuis l'arrestation de son père et son absence du domicile familial mais pourrait ne plus l'être en cas de libération de celui-ci, partant être sujet à pressions. Quant à l'épouse, il sera relevé qu'elle n'a déposé plainte que lorsque son fils avait appelé la police et que son mari avait été emmené, mais ne l'avait pas fait à l'occasion d'épisodes précédents. Les velléités du recourant à s'enquérir, depuis la prison, d'éventuels retraits de plainte ne font que renforcer les craintes de collusion et qu'il n'entreprenne sa femme et son fils, à sa sortie, pour obtenir ces retraits. La poursuite d'office des infractions reprochées n'y change rien, particulièrement s'agissant de faits survenus au sein de la famille et dont l'établissement repose principalement, en l'absence notamment de tout autre élément objectifs, sur les déclarations des victimes. Par ailleurs, une expertise psychiatrique - dont on comprend à la lecture du dossier qu'elle paraît indiquée – sera prochainement ordonnée et d'autres auditions pourraient ensuite intervenir. Il importe donc que le recourant ne puisse en l'état tenter de prendre contact avec son épouse et son fils et n'entrave ainsi la manifestation de la vérité.</w:t>
      </w:r>
    </w:p>
    <w:p>
      <w:r>
        <w:rPr>
          <w:b/>
        </w:rPr>
        <w:t>E. 4</w:t>
      </w:r>
    </w:p>
    <w:p>
      <w:r>
        <w:t>Le risque de collusion, indiscutable, doit ainsi être confirmé. Partant, nul besoin d'examiner si s'y ajoute un risque de réitération ou de fuite (arrêts du Tribunal fédéral 7B_188/2024 du 12 mars 2024 consid. 6.3.1 et 1B_197/2023 du 4 mai 2023 consid. 4.5).</w:t>
      </w:r>
    </w:p>
    <w:p>
      <w:r>
        <w:rPr>
          <w:b/>
        </w:rPr>
        <w:t>E. 5</w:t>
      </w:r>
    </w:p>
    <w:p>
      <w:r>
        <w:t>Le recourant propose, à titre de mesure de substitution, l'interdiction de prendre contact avec les parties plaignantes.</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5.2</w:t>
      </w:r>
    </w:p>
    <w:p>
      <w:r>
        <w:t>En l'espèce, l'interdiction d'entrer en contact avec les parties plaignantes est clairement insuffisante au regard de la nature du risque de collusion constaté. Une telle mesure de substitution paraît en outre particulièrement difficile à contrôler et ne permet pas, en l'état, de pallier le risque d'atteinte à la recherche de la vérité. Les autres mesures de substitutions proposées par le recourant ne sont pas aptes à pallier ce risque mais les autres risques éventuels non discutés ici de sorte qu'elles s'avèrent inadéquates.</w:t>
      </w:r>
    </w:p>
    <w:p>
      <w:r>
        <w:rPr>
          <w:b/>
        </w:rPr>
        <w:t>E. 6</w:t>
      </w:r>
    </w:p>
    <w:p>
      <w:r>
        <w:t>Le principe de la proportionnalité (art. 197 CPP) n'est pas violé compte tenu de la peine concrètement encourue si les faits reprochés étaient confirmés.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