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P/29506/2024 vom 7. Mai 2025</w:t>
      </w:r>
    </w:p>
    <w:p>
      <w:r>
        <w:t>GE Cour de justice, 2025-05-07, FR</w:t>
      </w:r>
    </w:p>
    <w:p>
      <w:r>
        <w:rPr>
          <w:b/>
        </w:rPr>
        <w:t xml:space="preserve">Quelle: </w:t>
      </w:r>
      <w:r>
        <w:t>https://mcp.opencaselaw.ch/entscheid/ge_gerichte_P_29506_2024</w:t>
      </w:r>
    </w:p>
    <w:p>
      <w:r>
        <w:t>FR: GE_GERICHTE P/29506/2024 du 7 mai 2025</w:t>
      </w:r>
    </w:p>
    <w:p>
      <w:r>
        <w:t>IT: GE_GERICHTE P/29506/2024 del 7 maggio 2025</w:t>
      </w:r>
    </w:p>
    <w:p>
      <w:pPr>
        <w:pStyle w:val="Heading2"/>
      </w:pPr>
      <w:r>
        <w:t>Regeste</w:t>
      </w:r>
    </w:p>
    <w:p>
      <w:r>
        <w:t>ORDONNANCE DE NON-ENTRÉE EN MATIÈRE;INFRACTIONS CONTRE L'HONNEUR;SECRET DE FONCTION | CPP.310.al1.leta; CPP.310.al1.letc; CP.52;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(ATF 143 IV 241 consid. 2.2.1 ; 138 IV 86 consid. 4.1 ; 137 IV 219 consid. 7 ; arrêt du Tribunal fédéral 1B_454/2011 du 6 décembre 2011 consid. 3.2). 3.1.2. L'art. 310 al. 1 let. c cum</w:t>
      </w:r>
    </w:p>
    <w:p>
      <w:r>
        <w:rPr>
          <w:b/>
        </w:rPr>
        <w:t>E. 3.4</w:t>
      </w:r>
    </w:p>
    <w:p>
      <w:r>
        <w:t>On ne distingue enfin pas d'actes d'instruction susceptibles d'aboutir à une solution différente. Le recourant n'en mentionne d'ailleurs aucun. 4. Justifiée, l'ordonnance querellée sera donc confirmée. 5. Le recourant qui succombe, supportera les frais envers l'État, qui seront arrêtés en totalité à CHF 1'200.- (art. 428 al. 1 CPP et 13 al. 1 du Règlement fixant le tarif des frais en matière pénale, RTFMP ; E 4 10.03), montant qui sera prélevé sur les sûretés versées. * * * * *</w:t>
      </w:r>
    </w:p>
    <w:p>
      <w:r>
        <w:rPr>
          <w:b/>
        </w:rPr>
        <w:t>E. 8</w:t>
      </w:r>
    </w:p>
    <w:p>
      <w:r>
        <w:t>al. 1 CPP prévoit quant à lui que le ministère public renonce à toute poursuite pénale et rende une ordonnance de non-entrée en matière,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 ACPR/263/2025 du 3 avril 2025 consid. 3.2. ; M. DUPUIS / L. MOREILLON / C. PIGUET / S. BERGER / M. MAZOU / V. RODIGARI [éds], Code pénal - Petit commentaire, 2ème éd., Bâle 2017, n. 3 ad art. 52). Tel est le cas si, dans l'affaire concernée, la culpabilité et le résultat se trouvent être en deçà de ceux ordinairement envisagés pour l'infraction en cause (arrêt du Tribunal fédéral 6B_197/2023 du 2 avril 2024 consid. 6.1.1). 3.2.1.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(art. 173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(art. 174 ch. 1 CP). Se rend encore coupable d'injure quiconque, de toute autre manière, attaque autrui dans son honneur par la parole, l’écriture, l’image, le geste ou par des voies de fait (art. 177 al. 1 CP). Dans le cas de l'injure, l'auteur peut s'adresser à la personne visée directement ou à un tiers en parlant d'elle (ATF 145 IV 462 consid. 4.2.4). Enfin, l'art. 179 quater al. 1 CP réprime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3.2.2. Les délits contre l'honneur sont consommés dès qu'un tiers prend connaissance de la déclaration portant atteinte à l'honneur (ATF 103 IV 22 consid. 7 p. 23 ; arrêts du Tribunal fédéral 6B_491/2013 du 4 février 2014 consid. 5.2.1 et 6B_106/2012 du 26 septembre 2012 consid. 4). Est en principe considéré comme tiers toute personne autre que l'auteur et l'objet des propos qui portent atteinte à l'honneur (ATF 86 IV 209 ). La jurisprudence a laissé indécise la question dite du " confident nécessaire " concernant la qualité de tiers des membres du cercle familial étroit et des personnes astreintes au secret professionnel au sens de l'art. 321 CP (arrêts du Tribunal fédéral 6B_512/2017 du 12 février 2018 consid. 3.3.1 ; 6B_69/2016 du 29 septembre 2016 consid. 2.1.1 ; 6B_229/2016 du 8 juin 2016 consid. 1.1). Le Tribunal fédéral a toutefois considéré un médecin et un avocat comme des confidents nécessaires et admis qu'ils ne sont pas des tiers (arrêt du Tribunal fédéral 6S.608/1991 du 24 janvier 1992 ; arrêt non publié du 11 juillet 1957 cité in ATF 86 IV 209 ). Dans un arrêt plus récent (ATF 145 IV 462 consid. 4.3.3), le Tribunal a retenu que l'avocat revêt en principe la position de tiers mais que le sens de propos tenus à un avocat ne saurait être apprécié de la même manière que celui de déclarations exprimées à l'égard de n'importe quel autre tiers. Aussi, pour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(ATF 148 IV 409 consid. 2.3.3 ; arrêt du Tribunal fédéral 6B_471/2024 du 6 janvier 20205 consid. 4.2). Quant à la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arrêts du Tribunal fédéral 6B_185/2011 du 22 décembre 2011 consid. 6.2 et 6S.3/2007 du 13 février 2007 consid. 4.3 et les références citées). D'autres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 BOMMER, Schweizerisches Strafrecht, Bes. Teil. I , 7e éd. 2010, § 11 n. 25; voir aussi SCHUBARTH, Kommentar zum schweizerischen Strafrecht, Bes. Teil , 3. Band, Berne 1984, art. 173 CP n. 34 ss; TRECHSEL et al., Schweizerisches Strafgesetzbuch, Praxiskommentar 2008 , art. 173, n. 4s.). Enfin, dans le cadre d'un procès, une atteinte à l'honneur ne doit être admise que restrictivement, surtout si les propos litigieux ne s'adressent qu'aux membres d'une autorité judiciaire, qui sont à même de faire la part des choses ( ACPR/204/2013 du 10 mai 2013 consid. 6.1; B. CORBOZ, La diffamation in SJ 1992 p. 646; LU : II. K. 22.02.2005; LGVE 2005 I no 55). 3.3.1. En l'espèce, le Ministère public a décidé de ne pas entrer en matière sur la plainte en lien avec les propos tenus par la sœur du recourant devant la police et le Ministère public, au motif qu'ils avaient eu pour destinataires des personnes soumises au secret de fonction. Sur ce point, et avec la doctrine majoritaire, il faut retenir que les propos en cause ont été tenus devant des autorités astreintes au secret de fonction. En conséquence, il s'agissait d'un cercle de personnes limité. Ces propos avaient en outre un lien avec le litige familial faisant précisément l'objet de la procédure en cours. La jurisprudence citée par le recourant (arrêt du Tribunal fédéral 6B_512/2017 du 12 février 2018 consid 3.3.1) se réfère précisément à la doctrine majoritaire rappelée plus haut. Dès lors, un des éléments constitutifs des infractions contre l'honneur pouvant entrer en ligne de compte fait défaut. Le Ministère public retient également le contexte dans lequel ont été tenus les propos en cause, soit un conflit entre un frère et une sœur qui fait l'objet d'une procédure pénale. Il peut être suivi, d'autant que ces propos ont été tenus dans le cadre d'une procédure pénale en cours, cadre dans lequel une atteinte à l'honneur ne doit être admise que restrictivement. 3.3.2. S'agissant de l'enregistrement vidéo, conformément aux principes et à la jurisprudence rappelés plus haut, c'est à juste titre que le Ministère public a décidé de ne pas entrer en matière en se basant sur l'art. 52 CP. En effet, cet enregistrement s'inscrit dans le cadre d'un litige entre un frère et une sœur. Il n'a causé aucun préjudice sensible au recourant, ce qu'il n'allègue d'ailleurs pas. En conséquence, le simple désagrément dont il se plaint paraît objectivement de peu d'importance. Même dans le contexte dans lequel il s'inscrit, ce seul enregistrement éventuellement pénalement relevant n'apparaît, partant, important ni du point de vue de la culpabilité ni au regard de ses conséquences. 3.3.3. À la lumière de ce qui précède, c'est à bon droit que le Ministère public a décidé de ne pas entrer en matière sur les faits visés par la plainte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