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P/2918/2012 vom 28. Oktober 2013</w:t>
      </w:r>
    </w:p>
    <w:p>
      <w:r>
        <w:t>GE Cour de justice, 2013-10-28, FR</w:t>
      </w:r>
    </w:p>
    <w:p>
      <w:r>
        <w:rPr>
          <w:b/>
        </w:rPr>
        <w:t xml:space="preserve">Quelle: </w:t>
      </w:r>
      <w:r>
        <w:t>https://mcp.opencaselaw.ch/entscheid/ge_gerichte_P_2918_2012</w:t>
      </w:r>
    </w:p>
    <w:p>
      <w:r>
        <w:t>FR: GE_GERICHTE P/2918/2012 du 28 octobre 2013</w:t>
      </w:r>
    </w:p>
    <w:p>
      <w:r>
        <w:t>IT: GE_GERICHTE P/2918/2012 del 28 ottobre 2013</w:t>
      </w:r>
    </w:p>
    <w:p>
      <w:pPr>
        <w:pStyle w:val="Heading2"/>
      </w:pPr>
      <w:r>
        <w:t>Regeste</w:t>
      </w:r>
    </w:p>
    <w:p>
      <w:r>
        <w:t>MEURTRE; TENTATIVE(DROIT PÉNAL); LÉGITIME DÉFENSE; EXCÈS; LÉGITIME DÉFENSE; ATTÉNUATION DE LA PEINE; MESURE THÉRAPEUTIQUE INSTITUTIONNELLE; MODIFICATION(EN GÉNÉRAL); PEINE | CP.111; CP.12.2; CP.22; CP.15; CP.16; CP.48.1.C; CP.48.1.D; CP.56; CP.61; CP.57.1; CP.57.2; CP.63</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 survenance du résultat de l’infraction reprochée, tel qu’il apparaît à la lumière des circonstances et de l’expérience de la vie (ATF 133 IV 1 consid. 4.6 p. 8). 2.1.2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 2.2.1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ATF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L’art. 15 CP ne peut être invoqué par le provocateur qui fait en sorte d’être attaqué pour pouvoir porter atteinte aux biens juridiques de tiers sous le couvert de la légitime défense (ATF 104 IV 53 ).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La défense choisie doit être la moins dommageable. Par contre, la défense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soit lorsqu'il n'était pas possible de repousser l'attaque avec des moyens moins dangereux et plus raisonnables, que l'auteur a, le cas échéant, reçu une sommation et que la personne attaquée, avant d'utiliser l'instrument dangereux, a fait le nécessaire pour éviter un préjudice excessif (ATF 136 IV 49 consid. 3 et 4 ; JT 2010 IV 159 ).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2.2.2 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2.3.1 En l'espèce, il n’est pas contesté que l’appelant X______ a donné deux coups de couteau à la partie plaignante qui ont nécessité deux interventions chirurgicales et concrètement mis en danger la vie de la victime, selon l'expertise médicale du 20 mars 2012. L’appelant X______ conteste toutefois avoir voulu attenter à la vie de la partie plaignante. Contrairement à ce que celui-ci soutient, il n'est pas crédible qu'il soit tombé sur sa victime alors qu'elle trébuchait, la touchant sur le haut du thorax avec son couteau sans faire exprès. Cette version des faits, qu'il allègue pour la première fois au stade de l'appel, est en contradiction avec ses propres déclarations précédentes ainsi qu'avec celles des témoins de la scène, dont G______ et D______, celui-là expliquant que l'appelant X______ avait failli tomber sur la victime. Cette nouvelle version qui semble dictée pour les besoins de la procédure ne convainc pas et sera écartée. En portant un coup de couteau de cuisine, dont la lame mesure 15 centimètres, vers le haut du thorax de la partie plaignante, sous la clavicule gauche, du haut vers le bas de façon circulaire, ne s'interrompant que lorsqu'il a senti la lame dans la chair de sa victime, l’appelant X______ ne pouvait ignorer le risque de lui causer une blessure susceptible d'entraîner la mort. Il a en effet pris le risque de porter atteinte aux organes vitaux de la partie plaignante, une blessure susceptible d’entraîner la mort ne pouvait apparaître que comme très vraisemblable, ce dont il s’est à tout le moins accommodé. Par ailleurs, lors de l'altercation, les deux protagonistes étaient en mouvement dans un endroit sombre avant que la victime ne trébuche et ne soit acculée à un mur, ce qui exclut que l'appelant X______ ait pu totalement maîtriser ses coups, d'où un risque de provoquer des lésions mortelles d'autant plus important. L'appelant X______ a également quitté les lieux en courant, la lame du couteau vierge de sang qu'il a pris le temps de ranger dans son sac et la victime encore debout selon ses propres mots, sans s'enquérir de son état de santé ni lui porter secours, ce qui tend à démontrer qu'il n'était pas surpris ou ébranlé par l'acte qu'il venait de commettre et qu'il avait envisagé les conséquences de son geste, les ayant acceptées au cas où elles se produiraient (arrêts du Tribunal fédéral 6B_246/2012 du 10 juillet 2012 consid. 1.3, 6B_109/2009 du 9 avril 2009 consid. 2.3.2). Contrairement à ce qu'a retenu le Tribunal correctionnel et conformément à la jurisprudence, l'appelant ne pouvait qu'être conscient, comme tout un chacun, du fait que la probabilité de la survenance de la mort est particulièrement élevée lorsqu'un coup de couteau est porté au thorax, qui plus est à gauche. Même si l'appelant X______ a répété tout au long de la procédure qu'il n'avait pas eu l'intention de tuer sa victime et que l'expert a relevé que l'appelant ne semblait pas avoir réalisé la gravité de ses actes et les risques vitaux provoqués par une blessure au thorax, il ne pouvait ignorer qu'une incision peu profonde à cet endroit du corps peut entraîner une issue fatale, étant rappelé que l'hémorragie causée en l'occurrence aurait pu provoquer la mort sans l'intervention rapide des secours, la victime ayant notamment eu le poumon perforé et subi un arrêt cardiaque dans l'ambulance qui la transportait aux HUG. L'appelant X______ savait d'autant plus que l'usage d'une telle arme pouvait être dangereux et mortel qu'il en avait été expressément averti quelques années auparavant à l'occasion d'une violente bagarre avec un cutter à laquelle il avait pris part au L______. Il devait dès lors être conscient qu'une telle blessure pouvait très vraisemblablement entraîner la mort et il s'est accommodé de ce résultat possible même s'il ne le souhaitait pas. 2.3.2 Dans ces circonstances, il convient d’admettre que l’appelant X______ s’est au moins nécessairement accommodé du risque de causer la mort de sa victime. C'est dès lors une tentative de meurtre par dol éventuel et non des lésions corporelles graves qui doit être retenue. L'appel du Ministère public sera admis sur ce point. L’infraction de lésions corporelles étant absorbée par la tentative de meurtre (ATF 137 IV 113 consid. 1.5 p. 117), le jugement du Tribunal correctionnel sera modifié et l'appelant reconnu coupable de tentative de meurtre par dol éventuel (art. 22 et 111 CP). 2.3.3 Les premiers juges ont écarté la circonstance atténuante de la légitime défense. L'appelant X______ conclut au bénéfice de la légitime défense excessive. Il ressort du dossier et n'est plus contesté au stade de l'appel, que la victime a provoqué à trois reprises l'appelant X______, en crachant dans sa direction, en renversant le contenu d'un verre d'alcool puis en lui assénant un coup de bouteille sur l'arrière du crâne, ce qui est également confirmé par la légère blessure subie par l'appelant X______ selon le constat médical. L'appelant X______ avait par ailleurs été marqué par une précédente altercation lors de laquelle il avait reçu un coup de bouteille qui avait failli lui faire perdre un œil et avait reçu des messages de menaces sur Internet d'un proche de la victime. Il ressort des déclarations des témoins D______ et G______ qu'une fois le coup de bouteille reçu, l'appelant X______ avait l'air enragé, haineux et acharné contre la victime. Toutefois, après avoir lancé sa bouteille en direction de l'appelant X______, la partie plaignante n'avait plus d'arme sur elle. Elle ne pouvait plus représenter une menace physique réelle dès lors qu'elle reculait et qu'elle s'était retrouvée acculée à un mur sans autre échappatoire. C'est ce moment que l'appelant X______ a choisi pour porter son coup au thorax de la victime. Il disposait à tout le moins d'autres moyens, voire la possibilité de lâcher son couteau, de fuir, d'appeler à l'aide. Compte tenu des caractéristiques de l'attaque subie, il ne peut sérieusement alléguer avoir été submergée par une émotion violente ou une peur particulièrement forte, les coups de couteau ayant été portés bien après le coup de bouteille. L'appelant X______ a lui-même déclaré avoir eu le temps de reprendre ses esprits et de sortir un couteau de son sac selon ses propres termes. Il ne s'agit donc pas d'un coup porté lors d'une échauffourée ou après une empoignade. Le saisissement allégué est par ailleurs contredit par l'attitude de l'appelant X______ qui, même s'il déclare avoir été mal après les faits, comme l'ont rapporté les témoins D______ et G______, n'était manifestement pas en état de choc et s'est rendu à Versoix pour fumer un joint avec ses copains, nonobstant sa perception de la gravité de son geste. Il découle de ce qui précède que l'attitude de la partie plaignante n'était pas telle qu'elle aurait pu être la cause d'une peur extrême. La riposte ayant été très dangereuse et même potentiellement mortelle, il convient de se montrer particulièrement exigeant dans l'appréciation des critères de l'art. 16 al. 2 CP. A l'évidence, l'appelant X______ ne les remplit pas de sorte que le jugement du Tribunal correctionnel sera confirmé sur ce point.</w:t>
      </w:r>
    </w:p>
    <w:p>
      <w:r>
        <w:rPr>
          <w:b/>
        </w:rPr>
        <w:t>E. 3</w:t>
      </w:r>
    </w:p>
    <w:p>
      <w:r>
        <w:t>Au chapitre des autres circonstances atténuantes, l'appelant X______ demande à être mis au bénéfice de la circonstance atténuante du repentir sincère tandis que le Ministère public s'oppose à l'émotion violente retenue en première instance. 3.1.1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 cf. arrêt du Tribunal fédéral 6B_517/2008 du 27 août 2008 consid. 5.3.2).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118 IV 233 consid. 2a p. 236).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3.1.2 En l'occurrence, le déroulement des faits ne permet pas de suivre le raisonnement des premiers juges. L'appelant X______ n'a pas immédiatement frappé la victime après avoir reçu le coup de bouteille mais a eu le temps de reprendre ses esprits, de sortir le couteau de son sac, de faire des mouvements en croix de haut en bas, d'attendre que la victime soit désarmée et acculée à un mur et de la toucher au bras gauche avant de lui planter le couteau dans le thorax. Certes, la partie plaignante avait craché en direction de l'appelant X______, jeté le contenu d'un verre dans sa direction et asséné un coup de bouteille sur la tête pour un motif lié, selon les explications de la partie plaignante, à un incident au sujet d'une amie commune malmenée par l'appelant X______. Il est vrai également que l'appelant X______ avait reçu des messages de menaces sur Facebook d'un proche de la partie plaignante. Toutefois, le début de cette altercation entre deux bandes de jeunes n'a pas revêtu une intensité telle qu'elle ait pu provoquer une émotion justifiant la réaction de l'appelant. Au contraire, il convient de rappeler qu'asséner un coup de couteau n'est pas une réponse susceptible d'être justifiée par une provocation de ce type. Même si l'appelant X______ avait déjà été victime d'un coup de bouteille sur la tête au printemps 2011 qui l'avait blessé au visage et qui, selon l'expertise, avait généré la crainte d'une agression dans des circonstances similaires, le déroulement des faits n'autorise pas non plus à conclure à une intense émotion. Les circonstances ne sont devenues dramatiques que par la faute de l'appelant X______. Rien dans son comportement ne permet de conclure à l'existence d'une réaction empreinte d'immédiateté. En tout état, sa réaction était disproportionnée. Au regard de ce qui précède, les éléments constitutifs de la circonstance atténuante de l'émotion violente ne sont pas réalisés. Le jugement du Tribunal correctionnel sera modifié en ce sens et l'appel du Ministère public admis sur ce point. 3.2.1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 3.2.2 Les seuls regrets, les excuses et le retrait de plainte ne constituent pas des actes suffisants, l'appelant X______ n'ayant pas adopté un comportement particulier, désintéressé et méritoire, qui constituerait la preuve concrète d'un repentir sincère. Il n'a pas fourni d'effort particulier ni cherché à rembourser le dommage causé à la victime. Par ailleurs, la prise de conscience de la gravité de ses actes, élément essentiel du repentir, est encore trop relative, l'appelant X______ persistant à affirmer qu'il n'a pas fait exprès. Il convient partant de rejeter l'appel sur ce point et de confirmer le jugement du Tribunal correctionnel.</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jeune âge ne constitue plus une circonstance atténuante depuis l'entrée en vigueur de la nouvelle partie générale du code pénal le 1 er janvier 2007. Cet élément ne peut être pris en compte dans le cadre ordinaire de la fixation de la peine que dans la mesure où un auteur est immature (arrêts du Tribunal fédéral 6B_198/2013 du 3 juin 2013 consid. 1.3.5 et 6B_762/2009 du 4 décembre 2009 consid. 3.3).</w:t>
      </w:r>
    </w:p>
    <w:p>
      <w:r>
        <w:rPr>
          <w:b/>
        </w:rPr>
        <w:t>E. 4.2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4.3</w:t>
      </w:r>
    </w:p>
    <w:p>
      <w:r>
        <w:t>Le meurtre est passible d'une peine privative de liberté de 5 ans au moins et l'infraction à l'art 115 LEtr est punie d'une peine privative de liberté d'un an au plus ou d'une peine pécuniaire.</w:t>
      </w:r>
    </w:p>
    <w:p>
      <w:r>
        <w:rPr>
          <w:b/>
        </w:rPr>
        <w:t>E. 4.4</w:t>
      </w:r>
    </w:p>
    <w:p>
      <w:r>
        <w:t>La faute de l’appelant X______ est lourde. Il a pris le risque d'attenter à la vie de la victime, soit le bien juridique le plus important, faisant preuve d'une détermination certaine. Ce n’est que par chance et par l'arrivée rapide des secours que l'issue fatale ne s'est pas produite. S’il est vrai que l’infraction qui lui est reprochée n’a été que tentée, l'absence de résultat n’en est pas pour autant attribuable à un désistement. La partie plaignante a été gravement atteinte dans sa santé physique et psychique au point qu'elle peine à vivre normalement et n'a pas pu commencer de formation professionnelle. Les conséquences humaines du comportement mal maîtrisé de l'appelant X______ sont donc importantes. Il a par ailleurs agi pour un motif vil et futile que rien ne justifiait et qui relève d'une colère mal maîtrisée ainsi que d'une volonté de vengeance. Il y a concours d'infractions avec l'art. 115 LEtr. Il convient aussi de prendre en considération la situation personnelle de l'appelant X______ ainsi que sa responsabilité pénale, que l'expert a qualifié de légèrement restreinte au regard de sa personnalité impulsive et de son état d'intoxication. Sa collaboration peut être qualifiée de moyenne. Il a admis les faits mais persisté à minimiser la gravité de sa faute, la rejetant en partie sur la partie plaignante. Même s'il a présenté des excuses à sa victime, la prise de conscience n'est encore que partielle. Il ne peut faire valoir aucune circonstance atténuante au sens de l’art. 48 CP. Il y a lieu également de tenir compte de son jeune âge au moment des faits ainsi que d'une enfance empreinte d'actes de violences et d'une situation sociale précaire sans perspective claire d'avenir vu son statut administratif. L'absence d'antécédent constitue un facteur neutre dans la fixation de la peine et n'a donc pas à être pris en considération dans un sens atténuant (ATF 136 IV 1 consid. 2.6.4 p. 3). Au regard de l’ensemble de ces éléments, l'appelant X______ sera condamné à une peine de 4 ans. Le jugement entrepris sera dès lors réformé sur ce point également. Il n’y a ainsi pas lieu d’examiner si les conditions du sursis sont réunies (cf. art. 42 et 43 CP).</w:t>
      </w:r>
    </w:p>
    <w:p>
      <w:r>
        <w:rPr>
          <w:b/>
        </w:rPr>
        <w:t>E. 5</w:t>
      </w:r>
    </w:p>
    <w:p>
      <w:r>
        <w:t>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L'art. 56a CP rappelle que si plusieurs mesures s'avèrent appropriées, mais qu'une seule est nécessaire, le juge ordonne celle qui porte à l'auteur les atteintes les moins graves (arrêts du Tribunal fédéral 6B_950/2009 du 10 mars 2010 consid. 4, 6B_457/2007 du 12 novembre 2007 consid. 5.2 ; cf . déjà ATF 118 IV 108 consid. 2a p. 113 et les références citées). 5.1.2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 En d'autres termes, le juge qui ne suit pas les conclusions de l'expert n'enfreint pas l'art. 9 Cst. lorsque des circonstances bien établies viennent en ébranler sérieusement la crédibilité (ATF 129 I 49 consid. 4 p. 57/58 ; 128 I 81 consid. 2 p. 86 ; 122 V 157 consid. 1c p. 160).</w:t>
      </w:r>
    </w:p>
    <w:p>
      <w:r>
        <w:rPr>
          <w:b/>
        </w:rPr>
        <w:t>E. 5.2</w:t>
      </w:r>
    </w:p>
    <w:p>
      <w:r>
        <w:t>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Quatre conditions doivent être réalisées pour qu'une mesure puisse être prononcée en application de cette disposition. L'auteur doit être âgé de 18 à 25 ans au moment de la commission de l'infraction, il doit souffrir de graves troubles du développement de la personnalité, l'infraction commise doit être en lien avec ces troubles et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consid. 2b p. 354 s.). Le placement implique une disposition minimale à coopérer, le jeune adulte devant présenter un minimum de motivation (ATF 123 IV 113 consid. 4c/dd p. 123 s). Au terme de l'art. 57 al. 1 et 2 CP, si les conditions sont remplies aussi bien pour le prononcé d’une peine que pour celui d’une mesure, le juge ordonne les deux sanctions (al. 1).</w:t>
      </w:r>
    </w:p>
    <w:p>
      <w:r>
        <w:rPr>
          <w:b/>
        </w:rPr>
        <w:t>E. 5.3</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Si la peine n’est pas compatible avec le traitement, le juge peut suspendre, au profit du traitement ambulatoire, l’exécution d’une peine privative de liberté ferme prononcée en même temps que le traitement. Il peut ordonner une assistance de probation et imposer des règles de conduite pendant la durée du traitement (art. 63 al. 2 CP). Le traitement ambulatoire ne peut en règle générale excéder cinq ans (al. 4).</w:t>
      </w:r>
    </w:p>
    <w:p>
      <w:r>
        <w:rPr>
          <w:b/>
        </w:rPr>
        <w:t>E. 5.4</w:t>
      </w:r>
    </w:p>
    <w:p>
      <w:r>
        <w:t>En l'espèce, selon l'expertise psychiatrique du 4 août 2012, l'appelant X______ présentait un trouble de la personnalité, émotionnellement labile de type impulsif avec traits dyssociaux et un état d'intoxication aiguë à l'alcool ou au cannabis. Sa responsabilité était légèrement restreinte au moment des faits et il existait un risque de récidive d'actes violents en raison de son trouble de la personnalité, de sa difficulté à contrôler ses impulsions, augmentés par le risque de consommation de substances psychoactives. D'après l'expert, l'appelant X______ devait bénéficier d'un suivi médico-psychologique dans le but de l'aider à se maîtriser ainsi qu'à prévenir ou éviter une consommation excessive d'alcool et de stupéfiants. Devant le Procureur, le Dr E______, ignorant si une thérapie ambulatoire serait suffisante, a indiqué qu'un placement à Pramont permettrait d'éloigner l'appelant X______ de mauvaises fréquentations et de créer un projet socio-professionnel. Il a toutefois nuancé ses propos devant la CPAR dans la mesure où le jeune homme s'y opposait. L'efficacité d'un traitement psychothérapeutique dépendait surtout de la qualité du lien avec le thérapeute de sorte qu'une telle mesure suivie ambulatoirement en prison pouvait être aussi bonne qu'à Pramont. L’appelant X______, âgé de moins de vingt-cinq ans au moment des faits, s’est déclaré prêt à collaborer à un traitement ambulatoire mais veut rester auprès de sa mère avec laquelle il a un lien fort. Le placement imposant au jeune adulte un minimum de coopération, il n'apparaît pas indiqué. Conformément aux conclusions de l'expertise, il se justifie de soumettre l’appelant à une mesure psychothérapeutique, visant à traiter sa problématique d'impulsivité et de violence ainsi que ses addictions au cannabis et à l'alcool. Au regard du principe de proportionnalité, cette mesure peut, en l’état, être exécutée sous la forme d’un traitement ambulatoire ne nécessitant pas un placement en maison d'éducation au travail, solution envisagée par l’expert dans un deuxième temps. Ce traitement est essentiel, afin que l’appelant apprenne à maitriser ses colères et prévenir le risque de récidive. La fréquence des entretiens sera laissée à l’appréciation du thérapeute, leur suivi étant placé sous le contrôle des autorités administratives compétentes. L'appel sera admis sur ce point et le jugement querellé annulé en tant qu’il ordonne un placement au sens de l’art. 61 CP. Un traitement ambulatoire sera ordonné pour une durée indéterminée (art. 63 CP), comprenant un suivi psychothérapeutique et, si nécessaire, médicamenteux. Il n'y a pas lieu de suspendre la peine privative de liberté fixée au profit du traitement ordonné lequel est compatible avec la détention.</w:t>
      </w:r>
    </w:p>
    <w:p>
      <w:r>
        <w:rPr>
          <w:b/>
        </w:rPr>
        <w:t>E. 6</w:t>
      </w:r>
    </w:p>
    <w:p>
      <w:r>
        <w:t>L’appelant X______, qui succombe pour l’essentiel, supportera les trois quarts des frais de la procédure (art. 428 CPP),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