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P/2910/2008 vom 5. Juni 2014</w:t>
      </w:r>
    </w:p>
    <w:p>
      <w:r>
        <w:t>GE Cour de justice, 2014-06-05, FR</w:t>
      </w:r>
    </w:p>
    <w:p>
      <w:r>
        <w:rPr>
          <w:b/>
        </w:rPr>
        <w:t xml:space="preserve">Quelle: </w:t>
      </w:r>
      <w:r>
        <w:t>https://mcp.opencaselaw.ch/entscheid/ge_gerichte_P_2910_2008</w:t>
      </w:r>
    </w:p>
    <w:p>
      <w:r>
        <w:t>FR: GE_GERICHTE P/2910/2008 du 5 juin 2014</w:t>
      </w:r>
    </w:p>
    <w:p>
      <w:r>
        <w:t>IT: GE_GERICHTE P/2910/2008 del 5 giugno 2014</w:t>
      </w:r>
    </w:p>
    <w:p>
      <w:pPr>
        <w:pStyle w:val="Heading2"/>
      </w:pPr>
      <w:r>
        <w:t>Regeste</w:t>
      </w:r>
    </w:p>
    <w:p>
      <w:r>
        <w:t>PRÉSOMPTION D'INNOCENCE; IN DUBIO PRO REO; FAUX TÉMOIGNAGE | CP.307; CPP.10.3</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w:t>
      </w:r>
    </w:p>
    <w:p>
      <w:r>
        <w:t>3.1.1. L'art. 307 CP réprime le fait du témoin qui dépose faussement sur les faits de la cause. Une information est fausse si elle ne correspond pas à la vérité objective (CORBOZ, Les infractions en droit suisse, vol. II , 3ème éd., 2010, n. 32 ad art. 307 CP), si le témoin affirme un fait ou en nie l’existence d’une manière contraire à la vérité, en particulier lorsque les événements ne se sont pas déroulés de la façon décrite ; la fausseté peut résider dans une omission: le témoin ne révèle pas un fait ou n’en révèle qu’une partie, donnant une vision tronquée de la réalité. La déposition est fausse si le témoin affirme avoir constaté un fait ou nie l’avoir constaté alors que ne ce n’est pas vrai ; elle est également fausse s’il dit ne pas se souvenir ou se souvenir, contrairement à la vérité (CORBOZ, op. cit. , n. 33 ad art. 307 CP). Sur le plan objectif, l'information fausse doit porter sur un fait de la cause, soit non pas seulement les faits extérieurement constatables, mais aussi ceux relevant du for intérieur, comme des sentiments, une volonté ou des intentions. Est en revanche exclue de cette définition une pure appréciation, une opinion personnelle, un jugement de valeur ou une supposition formulée par le témoin (B. CORBOZ, Les infractions en droit suisse , Vol. II, 2010, n. 30 et suivants ad art. 307). Il n'est pas nécessaire que l'information fausse soit juridiquement pertinente pour l'issue du litige. Si l'information porte sur un fait qui n'était pas de nature à influencer la décision, cela ne supprime pas l'infraction, mais entraîne l'application de l'art. 307 al. 3 CP (CORBOZ, op. cit., p. 565). Sur le plan subjectif, l'auteur doit avoir agi intentionnellement, le dol éventuel étant suffisant, étant précisé que l'intention doit porter sur tous les éléments objectifs de l'infraction. Il faut donc que l'auteur sache, ou du moins accepte, l'éventualité qu'il intervient en justice comme témoin, et qu'il sache, ou du moins accepte, que ce qu'il dit en cette qualité ne correspond pas à la vérité objective (arrêt du Tribunal fédéral 6S.425/2004 du 28 janvier 2005, consid. 2.5). L'infraction réprime une mise en danger abstraite du bien juridiquement protégé. Il n'est pas nécessaire pour que l'infraction soit consommée que le juge ait été concrètement influencé (B. CORBOZ, op. cit. , n. 4 ad art. 307). 3.1.2. L'infraction de faux témoignage est punie d'une peine pécuniaire de 180 jours-amende au plus si la fausse déclaration a trait à des faits qui ne peuvent exercer aucune influence sur la décision du juge. Il ne suffit pas que les éléments faux se soient relevés sans pertinence (ATF 106 IV 198 consid. a). Il faut que le mensonge porte sur un fait qui, d'emblée, ne pouvait en aucun cas exercer d’influence sur la décision (B. CORBOZ, op. cit. , n. 57 in fine ad art. 307). 3.2.1. En l’espèce, il n’est pas contesté que l'appelante a toujours conservé son domicile officiel à M______. L’ensemble des éléments du dossier permet toutefois de retenir qu’elle a cohabité avec C______ dans la villa sise à L______, puis dans celle sise à F______, et qu’elle a entretenu avec lui une relation sentimentale. Les témoins J______, G______, O______, AR______, P______, Q______ et R______ ont tous affirmé que C______ et A______ vivaient en couple. Cette dernière a vendu au témoin W______ certaines affaires qui meublaient la maison sise à L______, avant de déménager dans celle sise à F______. Elle a en outre signé le bail à loyer de cette dernière maison, le contrat mentionnant que l’immeuble était destiné à l’habitation de A______ et de C______. L’appelante a pris une part active à l'agencement de cette maison, participant à l’état des lieux, à l'achat d'un jacuzzi, au choix de la nouvelle cuisine et du carrelage. A______ a été vue en robe de chambre et aérer les draps dans la villa sise à L______. Elle a profité de la voiture du témoin J______ pour se faire conduire jusqu’à M______, lui confiant que le trajet en taxi tous les jours coûtait cher. L’appelante a encore commandé des travaux pour la villa sise à L______ au témoin R______, avait l’habitude de recevoir des convives, avec l'intimé, dans la villa sise à F______, et s’acquittait parfois de la facture SIG en mains de la voisine S______. Le couple Q______ était parti en week-end avec C______ et A______, qui faisaient chambre commune, et le témoin P______ a confirmé avoir reçu des messages de C______, qui était parti à AS______ avec A______. Les très nombreuses pièces qui figurent au dossier, notamment la demande faite en 2002 par C______ afin d’inclure A______ dans la police d’assurance-ménage pour la maison sise à L______, la facture de l’entreprise de J______, dont il ressort que c’est A______ qui a choisi le jacuzzi dans la villa sise à F______, ou encore la facture d’hôtel ou le procès-verbal d’une procédure prud’homale établissent à satisfaction tant la cohabitation que l’existence d’une relation sentimentale entre l’appelante et l’intimé. Les explications de l'appelante selon lesquelles elle ne faisait que dormir de temps en temps chez C______, dont elle partageait le lit en toute amitié, ne sont pas crédibles, compte tenu des témoignages et des pièces recueillis. En déclarant au juge civil qu’elle n’avait ni cohabité ni entretenu de relation sentimentale avec C______, l’appelante a fait une fausse déposition au sens de l’art. 307 CP. A______ ne peut pas non plus se prévaloir de l’atténuante de l’art. 307 al. 3 CP, dès lors que les déclarations qu’elle a faites étaient de nature à avoir une influence sur l’issue de la procédure civile opposant D______ à C______, qui soutenait l’avoir représentée lors de la commande de la cuisine pour la villa sise à F______. Dans le cadre de cette action en libération de dette, il n’était pas indifférent de déterminer la nature des rapports entre l’appelante et l’intimé. La Cour de justice civile, dans son arrêt du 28 mai 2009, ne s’y est du reste pas trompée lorsqu’elle a retenu que le fait que les factures relatives aux travaux commandés par A______ et C______ ensemble, concernant tant le E______ que les villas sises à F______ et L______, dans lesquelles ils cohabitaient, avaient été réglées par l’établissement, avait conduit C______ à considérer qu’il était également le représentant du E______, et donc de A______, lors de l’achat de la cuisine à D______. En ce qui concerne l’élément subjectif, la Cour retient, à l’instar du premier juge, que l’appelante a agi intentionnellement dès lors qu’elle savait qu’elle était entendue comme témoin et que ses déclarations étaient contraires à la vérité. Elle a très bien saisi la portée des questions qui lui ont été posées et ne saurait de bonne foi soutenir avoir eu des doutes sur le sens que le juge civil avait voulu donner au verbe « cohabiter ». L’appelante avait d’ailleurs un intérêt personnel à soutenir que ses rapports avec C______ n’étaient pas très étroits, dès lors que si l’intimé parvenait à prouver qu’il n’était pas le débiteur de D______, c’était elle qui l’était, ce que la Cour de justice a fini du reste par constater. 3.2.2. En ce qui concerne B______, la Cour a acquis la conviction, à l’instar du premier juge, que ce dernier a également voulu donner une version tronquée de la réalité au juge civil, en déclarant, sous serment, que sa mère n’avait jamais habité avec C______ et qu’elle habitait depuis 15 ans à M______. Plusieurs éléments permettent de retenir que B______ était au courant de l’existence de la relation entre sa mère et C______. En effet, dès 2003, B______ s’était occupé des aspects administratifs et comptables du E______et avait des contacts très fréquents, qualifiés de quasi-quotidiens, avec sa mère et, partant, aussi avec C______, tous les trois étant actifs au sein du même établissement. Dans ce contexte, l’appelant n’est pas crédible lorsqu’il soutient avoir tout ignoré de la relation entre sa mère et l’intimé, alors que nombre de témoins entendus dans la procédure ont déclaré que A______ et C______ formaient un couple aux yeux de tous. B______ savait que le bail à loyer de la villa sise à F______ avait été signé par sa mère, étant rappelé que ce contrat mentionnait clairement que cette maison devait aussi servir d’habitation au couple. En sa qualité de comptable, il a dû recevoir la facture de J______ relative à l’installation du jacuzzi dans la villa sise à F______, choisi par sa mère. Dans le contexte plus général du paiement des factures qui ne concernaient pas directement le restaurant, B______ s’est nécessairement entretenu avec sa mère et a dû lui demander des explications. Il convient aussi de rappeler qu’en 2004, C______ et A______ ont visité à plusieurs reprises une maison en vente, B______ ayant aussi visité la villa une fois à la demande de sa mère, selon un courrier daté du 3 juin 2009 de la société AO______ et le témoignage de AP______. B______ a d’ailleurs admis avoir visité une maison, déclarant toutefois ne pas se souvenir des circonstances exactes. Il ressort encore de la procédure que B______ a envoyé un sms à C______ afin de souhaiter, à lui et à sa mère, un joyeux Noël 2002 et le nom de C______ figure sur l’annonce mortuaire du père de A______, ce que B______ savait nécessairement. Partant, l’appelant savait que sa mère et C______, avec lesquels il travaillait, habitaient ensemble et entretenaient une relation qui allait bien au-delà du simple rapport d’amitié. En déclarant au juge civil, de manière péremptoire, que sa mère n’avait jamais habité avec C______, B______ a donné, sciemment, une vision tronquée de la réalité. Dans son rôle de comptable du E______, B______ était parfaitement au courant de l’enjeu de la procédure civile dans laquelle il était appelé à témoigner, l’admission de l’action en libération de dette de C______ ayant pour conséquence de reporter la dette sur sa mère. Tout comme sa mère, et pour les mêmes motifs, B______ ne peut pas non plus se prévaloir de l’atténuante de l’art. 307 al. 3 CP. En revanche, les conditions de l’aggravante de l’art. 307 al. 2 CP sont réalisées, comme l’a retenu à juste titre le premier juge, les appelants ayant fait des fausses déclarations après avoir prêté serment. Le verdict de culpabilité sera ainsi entièrement confirmé.</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w:t>
      </w:r>
    </w:p>
    <w:p>
      <w:r>
        <w:rPr>
          <w:b/>
        </w:rPr>
        <w:t>E. 4.2</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w:t>
      </w:r>
    </w:p>
    <w:p>
      <w:r>
        <w:rPr>
          <w:b/>
        </w:rPr>
        <w:t>E. 4.3</w:t>
      </w:r>
    </w:p>
    <w:p>
      <w:r>
        <w:t>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L'art. 36 al. 1 CP dispose que, dans la mesure où le condamné ne paie pas la peine pécuniaire et que celle-ci est inexécutable par la voie de la poursuite pour dettes, la peine pécuniaire fait place à une peine privative de liberté. La seule perspective que la peine pécuniaire ne puisse être exécutée ne doit cependant pas conduire a priori au prononcé d'une courte peine privative de liberté ferme. Une peine pécuniaire ou un travail d'intérêt général avec sursis s'imposent plutôt lorsque les conditions du sursis sont réalisées. Ni la situation économique de l'auteur ni le fait que son insolvabilité est prévisible ne constituent des critères pertinents pour choisir la nature de la sanction.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 4.4.1. En l’espèce, B______ n’a pas pris de conclusions subsidiaires sur la peine. La peine de 250 jours-amende à CHF 70.- l’unité fixée par le premier juge est adéquate et consacre une application correcte des dispositions légales applicables. Elle est aussi adaptée à la situation personnelle et financière de l’appelant, ce que celui-ci ne conteste au demeurant pas, et sera par conséquent confirmée. 4.4.2. La faute de A______ est importante. Elle a sciemment menti pour faire obstruction à une bonne administration de la justice et par convenance personnelle. Son mobile est égoïste, puisqu’elle voulait empêcher de devenir débitrice d'une dette relativement importante au détriment de l'intimé. Sa collaboration a été mauvaise. Elle a contesté être l'auteur d'une infraction pénale et tenté de jouer sur les mots pour échapper à ses responsabilités. Sa prise de conscience est inexistante. Une exemption de peine est, par conséquent, exclue. L’absence d’antécédents judicaires est en principe un facteur neutre dans la fixation de la peine (ATF 136 IV 1 ). La quotité de la peine pécuniaire fixée en première instance, soit 250 jours-amende, correspond à la faute de l’intéressée au regard des éléments susmentionnés, de sorte qu’elle sera confirmée, étant rappelé que la peine plancher pour le faux témoignage aggravé est de 180 jours-amende. La situation personnelle, notamment financière, de l’appelante n'ayant pas changé depuis le jugement de première instance, le montant du jour-amende sera également confirmé. Le sursis lui est acquis. Quant à la durée du délai d'épreuve de trois ans, elle est adéquate et sera également confirmée.</w:t>
      </w:r>
    </w:p>
    <w:p>
      <w:r>
        <w:rPr>
          <w:b/>
        </w:rPr>
        <w:t>E. 5</w:t>
      </w:r>
    </w:p>
    <w:p>
      <w:r>
        <w:t>5.1. Compte de l’issue de la procédure d’appel, les conclusions en indemnisation formulées par les appelants sont rejetées (art. 429 a contrario et 462 al. 2 a contrario CPP). 5.2.1. A teneur de l'art. 433 CPP, la partie plaignante, qui obtient gain de cause, peut demander au prévenu une juste indemnité pour les dépenses obligatoires occasionnées par la procédure (al. 1). Il lui appartient de les chiffrer et de les justifier, car, si elle ne s'acquitte pas de cette obligation, l'autorité pénale n'entre pas en matière sur la demande (al. 2), ce qui entraîne la péremption de son droit d'obtenir une telle indemnité (A. KUHN / Y. JEANNERET (éds), Commentaire romand : Code de procédure pénale suisse , Bâle 2011, n. 2 et 13 ad art. 433). Cette notion de juste indemnité correspond à l'indemnisation due au prévenu acquitté « pour les dépenses occasionnées par l'exercice raisonnable de ses droits de procédure » selon l'art. 429 al. 1 let. a CPP. 5.2.2. En l’espèce, l’intimé C______ a obtenu gain de cause en première instance et en appel s’agissant de ses conclusions pénales, dès lors que A______ et B______ ont été reconnus coupables de faux témoignage. Il se voit ainsi reconnaître le droit d’obtenir une juste indemnité pour les dépenses obligatoires occasionnées par la procédure. Il a fait appel à un avocat et a arrêté ses frais de défense, pour la procédure d'appel, à CHF 8'960.-, TVA comprise, pour une activité de 16.5 heures à un tarif horaire de CHF 500.-. Le taux horaire de CHF 500.- est excessif et sera ramené au taux usuel à Genève de CHF 400.-. La note de frais produite ne permet pas de déterminer avec exactitude l'étendue et l'opportunité des actes accomplis par le conseil de la partie plaignante, le temps consacré à chaque activité n’étant pas détaillé. Les postes « confrontation de documents », « nombreuses conférences et correspondances avec client » ou encore « revue de l’ensemble du dossier » sont formulés de manière trop vague. La Cour arrêtera l’indemnisation due à l’intimé pour ses frais d’avocat pour la procédure d’appel à 12 heures d’activité à CHF 400.-, étant rappelé que l’audience d’appel a duré moins de trois heures. Les appelants seront ainsi condamnés, conjointement et solidairement, à payer à l'intimé la somme de CHF 4’800.-, TVA incluse.</w:t>
      </w:r>
    </w:p>
    <w:p>
      <w:r>
        <w:rPr>
          <w:b/>
        </w:rPr>
        <w:t>E. 6</w:t>
      </w:r>
    </w:p>
    <w:p>
      <w:r>
        <w:t>Les appelants, qui succombent, supporteront chacun la moitié des frais de la procédure envers l'État (art. 428 CPP), lesquels comprendront un émolument de CHF 2'000.- (art. 14 al. 1 let. e du règlement fixant le tarif des frais en matière pénale, du 22 décembre 2010 [RTFMP ;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