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P/2874/2018 vom 6. November 2018</w:t>
      </w:r>
    </w:p>
    <w:p>
      <w:r>
        <w:t>GE Cour de justice, 2018-11-06, FR</w:t>
      </w:r>
    </w:p>
    <w:p>
      <w:r>
        <w:rPr>
          <w:b/>
        </w:rPr>
        <w:t xml:space="preserve">Quelle: </w:t>
      </w:r>
      <w:r>
        <w:t>https://mcp.opencaselaw.ch/entscheid/ge_gerichte_P_2874_2018</w:t>
      </w:r>
    </w:p>
    <w:p>
      <w:r>
        <w:t>FR: GE_GERICHTE P/2874/2018 du 6 novembre 2018</w:t>
      </w:r>
    </w:p>
    <w:p>
      <w:r>
        <w:t>IT: GE_GERICHTE P/2874/2018 del 6 novembre 2018</w:t>
      </w:r>
    </w:p>
    <w:p>
      <w:pPr>
        <w:pStyle w:val="Heading2"/>
      </w:pPr>
      <w:r>
        <w:t>Regeste</w:t>
      </w:r>
    </w:p>
    <w:p>
      <w:r>
        <w:t>OPPOSITION(PROCÉDURE); DÉFAUT(CONTUMACE) ; ORDONNANCE PÉNALE | CPP.354; CPP.355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limité à l'examen d'une éventuelle violation de l'art. 355 al. 2 CPP. Les conclusions du recourant tendant au classement de la procédure sont donc irrecevables.</w:t>
      </w:r>
    </w:p>
    <w:p>
      <w:r>
        <w:rPr>
          <w:b/>
        </w:rPr>
        <w:t>E. 4.1</w:t>
      </w:r>
    </w:p>
    <w:p>
      <w:r>
        <w:t>Lorsque le prévenu fait opposition à une ordonnance pénale (art. 354 al. 1 CPP) et ne comparaît pas à l'audience sur opposition, sans excuse valable, le Ministère public constate que son opposition est réputée retirée (art. 355 al. 2 CPP). Comme motifs d'excuse valable, la doctrine mentionne la maladie, le service militaire ou l'absence à l'étranger (N. SCHMID / D. JOSITSCH, Schweizerische Strafprozessordnung : Praxiskommentar , 3 e éd., Zurich 2018 ,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tels que vacances, voyage d'affaires, etc. (A. KUHN / Y. JEANNERET (éds), Commentaire romand : Code de procédure pénale suisse , Bâle 2011, n. 4 ad art. 205 ; M. NIGGLI / M. HEER / H. WIPRÄCHTIGER, Schweizerische Strafprozessordnung / Schweizerische Jugendstrafprozessordnung , Basler Kommentar StPO/JStPO, Bâle 2011, n. 6 ad art. 205).</w:t>
      </w:r>
    </w:p>
    <w:p>
      <w:r>
        <w:rPr>
          <w:b/>
        </w:rPr>
        <w:t>E. 4.2</w:t>
      </w:r>
    </w:p>
    <w:p>
      <w:r>
        <w:t>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4.3</w:t>
      </w:r>
    </w:p>
    <w:p>
      <w:r>
        <w:t>En l'espèce, il n'est pas contesté que le recourant a été régulièrement cité à comparaître à l'audience du 26 octobre 2018 avec l'indication qu'il devait s'y présenter personnellement et qu'en cas d'absence non excusée de sa part, son opposition serait réputée retirée, au sens de l'art. 355 al. 2 CPP. Le recourant, prévenu dans une procédure pénale, avait formé opposition contre l'ordonnance du 9 juillet 2018. Il devait donc s'attendre à recevoir une convocation - en l'occurrence celle pour l'audience du 26 octobre 2018 -, respectivement des communications de l'autorité. Son précédent conseil a tenté de le joindre à réitérées reprises, sans toutefois y parvenir. Il lui a envoyé un courriel pour l'informer de la tenue de l'audience et lui a expliqué les conséquences d'un défaut. Il s'ensuit que, en ne se comportant pas comme une partie consciencieuse et diligente l'aurait fait, le recourant ne peut se prévaloir d'un empêchement non fautif. Il est sans importance que sa femme n'ait pas souhaité poursuivre la procédure, comme il l'allègue. En effet, les lésions corporelles simples sont poursuivies d'office (art. 123 ch. 2 al. 3 CP), et de la lettre de son épouse du 19 novembre 2018 - qui est donc postérieure à la décision querellée -, il ne ressort pas qu'elle ait demandé la suspension de la procédure (art. 55a CP), par exemple après que son mari avait formé opposition, mais avant l'audience du 26 octobre 2018. C'est ainsi à juste titre que le Ministère public a constaté, dans son ordonnance querellée, que l'opposition du recourant devait être considérée comme retirée, en application de l'art. 355 al. 2 CPP.</w:t>
      </w:r>
    </w:p>
    <w:p>
      <w:r>
        <w:rPr>
          <w:b/>
        </w:rPr>
        <w:t>E. 5</w:t>
      </w:r>
    </w:p>
    <w:p>
      <w:r>
        <w:t>Le recourant, qui succombe, supportera les frais envers l'État, qui comprendront un émolument de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