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P/28701/2024 vom 14. Januar 2025</w:t>
      </w:r>
    </w:p>
    <w:p>
      <w:r>
        <w:t>GE Cour de justice, 2025-01-14, FR</w:t>
      </w:r>
    </w:p>
    <w:p>
      <w:r>
        <w:rPr>
          <w:b/>
        </w:rPr>
        <w:t xml:space="preserve">Quelle: </w:t>
      </w:r>
      <w:r>
        <w:t>https://mcp.opencaselaw.ch/entscheid/ge_gerichte_P_28701_2024</w:t>
      </w:r>
    </w:p>
    <w:p>
      <w:r>
        <w:t>FR: GE_GERICHTE P/28701/2024 du 14 janvier 2025</w:t>
      </w:r>
    </w:p>
    <w:p>
      <w:r>
        <w:t>IT: GE_GERICHTE P/28701/2024 del 14 gennaio 2025</w:t>
      </w:r>
    </w:p>
    <w:p>
      <w:pPr>
        <w:pStyle w:val="Heading2"/>
      </w:pPr>
      <w:r>
        <w:t>Regeste</w:t>
      </w:r>
    </w:p>
    <w:p>
      <w:r>
        <w:t>DÉTENTION PROVISOIRE;RISQUE DE COLLUSION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Les charges ne sont pas discutées. Il n'y a donc pas à y revenir mais à renvoyer, en tant que de besoin, à la motivation adoptée par le premier juge (art. 82 al. 4 CPP; ACPR/747/2020 du 22 octobre 2020 consid. 2 et les références).</w:t>
      </w:r>
    </w:p>
    <w:p>
      <w:r>
        <w:rPr>
          <w:b/>
        </w:rPr>
        <w:t>E. 3</w:t>
      </w:r>
    </w:p>
    <w:p>
      <w:r>
        <w:t>Le recourant conteste un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l'instruction ne fait que commencer. Le recourant, qui nie toute implication dans les faits reprochés malgré les éléments au dossier, devra être confronté aux résultats des actes d'enquête, lesquels devraient permettre d'établir le taux de pureté de la drogue saisie, de déterminer son rôle dans le trafic en cause et d'identifier d'éventuels complices et consommateurs. En l'état, les soupçons que le recourant se livrait à un trafic de stupéfiants sont suffisants, de sorte que ses dénégations ne sauraient annihiler le risque de collusion. À ce stade de l'instruction, ce risque est ainsi très élevé et ne saurait être pallié par une éventuelle interdiction de contact, les autres personnes impliquées n'étant, en l'état, pas identifiées. Aucune autre mesure de substitution n'est envisageable – étant relevé que les mesures de substitution proposées [bracelet électronique et suivi thérapeutique] se rapportent aux risques de fuite (non retenu par le TMC) et de réitération. Partant, la détention provisoire demeure nécessaire pour pallier le risque de collusion retenu.</w:t>
      </w:r>
    </w:p>
    <w:p>
      <w:r>
        <w:rPr>
          <w:b/>
        </w:rPr>
        <w:t>E. 4</w:t>
      </w:r>
    </w:p>
    <w:p>
      <w:r>
        <w:t>L'admission du risque, clair, de collusion dispense d'examiner s'il s'y ajouterait un risque de réitération (arrêts du Tribunal fédéral 1B_34/2023 du 13 février 2023 consid. 3.3.; 1B_51/2021 du 31 mars 2021 consid. 3.1.; 1B_322/2019 du 17 juillet 2019 consid. 3.3).</w:t>
      </w:r>
    </w:p>
    <w:p>
      <w:r>
        <w:rPr>
          <w:b/>
        </w:rPr>
        <w:t>E. 5</w:t>
      </w:r>
    </w:p>
    <w:p>
      <w:r>
        <w:t>Le recourant se plaint de la durée de la détention prononcée.</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l'espèce, la durée de la détention provisoire ordonnée jusqu'au 12 février 2025 s'avère nécessaire pour permettre au Ministère public de procéder aux actes d'instruction annoncés. Elle n'apparait pas excessive eu égard à l'infraction reprochée pouvant constituer, à ce stade, un cas grave compte tenu de la quantité de la drogue stockée dans l'appartement du recourant. Une fois le taux de pureté de la drogue connu, il appartiendra au Ministère public, indépendamment de tout autre acte qu'il pourrait décider d'ordonner dans l'intervalle, de confronter le recourant aux résultats des actes d'enquête et de se déterminer sur la suite de l'instruction. Le grief est ainsi rejeté.</w:t>
      </w:r>
    </w:p>
    <w:p>
      <w:r>
        <w:rPr>
          <w:b/>
        </w:rPr>
        <w:t>E. 6</w:t>
      </w:r>
    </w:p>
    <w:p>
      <w:r>
        <w:t>Justifiée, l'ordonnance querellée sera donc confirmée.</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