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P/286/2015 vom 26. September 2016</w:t>
      </w:r>
    </w:p>
    <w:p>
      <w:r>
        <w:t>GE Cour de justice, 2016-09-26, FR</w:t>
      </w:r>
    </w:p>
    <w:p>
      <w:r>
        <w:rPr>
          <w:b/>
        </w:rPr>
        <w:t xml:space="preserve">Quelle: </w:t>
      </w:r>
      <w:r>
        <w:t>https://mcp.opencaselaw.ch/entscheid/ge_gerichte_P_286_2015</w:t>
      </w:r>
    </w:p>
    <w:p>
      <w:r>
        <w:t>FR: GE_GERICHTE P/286/2015 du 26 septembre 2016</w:t>
      </w:r>
    </w:p>
    <w:p>
      <w:r>
        <w:t>IT: GE_GERICHTE P/286/2015 del 26 settembre 2016</w:t>
      </w:r>
    </w:p>
    <w:p>
      <w:pPr>
        <w:pStyle w:val="Heading2"/>
      </w:pPr>
      <w:r>
        <w:t>Regeste</w:t>
      </w:r>
    </w:p>
    <w:p>
      <w:r>
        <w:t>VIOLENCE CONTRE LES AUTORITÉS; DOMMAGES À LA PROPRIÉTÉ(DROIT PÉNAL) ; TENTATIVE(DROIT PÉNAL) | CP. 285 ; CP. 144 ; CP. 22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Les art. 9 al. 1 et 325 al. 1 CPP énoncent la maxime d'accusation et stipulent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Constitution fédérale de la Confédération suisse du 18 avril 1999 (Cst. ; RS 101) et peut aussi être déduit des art. 32 al. 2 Cst. et 6 ch. 3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p. 244 ; 126 I 19 consid. 2a p. 21 ; arrêt du Tribunal fédéral 6B_418/2014 du 27 janvier 2015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L'acte d'accusation doit notamment contenir, le plus brièvement possible, mais avec précision, la description des actes reprochés au prévenu, le lieu, la date et l'heure de leur commission ainsi que leurs conséquences et le mode de procéder de l'auteur (art. 325 l.1 CP). Des imprécisions quant au lieu ou à la date de l'infraction reprochée sont sans portée dès lors qu'il n'existe dans l'esprit du prévenu aucun doute quant au comportement qui lui est reproché (arrêts du Tribunal fédéral 6B_552/2014 du 25 septembre 2014 consid. 1.1 ; 6B_1121/2013 du 6 mai 2014 consid. 3.2 ; 6B_210/2013 du 13 janvier 2014 consid. 1.2).</w:t>
      </w:r>
    </w:p>
    <w:p>
      <w:r>
        <w:rPr>
          <w:b/>
        </w:rPr>
        <w:t>E. 2.2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8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du Tribunal fédéral 6B_863/2015 du 15 mars 2016 consid. 1.1 et 6B_1009/2014 du 2 avril 2015 consid. 5.1.2). L'art. 285 CP n'est pas applicable si l'auteur règle un compte privé avec le fonctionnaire, mais à un moment où celui-ci est en fonction (ATF 110 IV 91 consid. 2 p. 92 ; arrêt du Tribunal fédéral 6B_834/2008 du 20 janvier 2009 consid. 3.1).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w:t>
      </w:r>
    </w:p>
    <w:p>
      <w:r>
        <w:rPr>
          <w:b/>
        </w:rPr>
        <w:t>E. 2.3</w:t>
      </w:r>
    </w:p>
    <w:p>
      <w:r>
        <w:t>Selon l'art. 22 CP, une tentative de crime ou de délit est punissable, bien que de manière atténuée. La tentative suppose que l'auteur réalise tous les éléments subjectifs de l'infraction et qu'il manifeste sa décision de la commettre, mais sans en réaliser tous les éléments objectifs (ATF 120 IV 199 consid. 3e p. 206). Conformément aux règles générales, l'intention doit porter sur l'ensemble des éléments constitutifs objectifs. Il est déterminant que l'auteur ait agi en se représentant (donc en acceptant) une situation dans laquelle ces éléments sont réalisés (ATF 128 IV 18 consid. 3a p. 21 ; ATF 122 IV 246 consid. 3a p. 248). 2.4.1. Force est de constater que le premier juge a retenu à raison que, pour les deux incidents à l'origine de la procédure, l'un des éléments constitutifs objectifs de l'infraction à l'art. 285 CP n'était pas réalisé, soit celui du résultat, autrement dit de l'entrave à un acte de fonction. En effet, il résulte clairement des déclarations des agents de détention que le service des repas a pu être effectué normalement le 26 novembre 2014, malgré le comportement menaçant des intimés et l'appelant ne critique pas l'état de fait retenu par le premier juge, notamment qu'il n'est pas établi que l'intimé A______ se serait interposé alors que son comparse était conduit hors de la cellule. Certes, l'agent E______ a déclaré que lui-même et ses collègues avaient été perturbés durant une semaine par les menaces proférées à leur encontre mais ce faisant il a fait état d'un sentiment, sans indiquer qu'en raison de cette émotion, les agents de détention auraient été contraints de modifier leur façon d'accomplir leurs tâches. Certes aussi, le 28 novembre 2014, le gardien F______ a dû faire un pas en arrière, pour esquiver le bras de l'intimé C______ surgissant du portillon, mais ce simple mouvement de recul est trop anodin pour qu'on puisse en déduire une véritable gêne à l'activité de cet agent public. L'absence de description, dans les ordonnances pénales, d'une conséquence matérielle des actes reprochés reflète bien le fait que ceux-ci n'ont eu aucun résultat. Faute de réalisation de l'un des éléments objectifs de l'infraction, les intimés ne pouvaient être reconnus coupables de délit achevé. 2.4.2. Reste à déterminer si, comme soutenu en appel, il ont néanmoins commis une tentative. La réponse est clairement négative s'agissant des événements du 26 novembre 2014, dès lors qu'on ne voit pas davantage quel était le résultat envisagé, au moins par dol éventuel. Ici encore, le silence des ordonnances pénales valant acte d'accusation est significatif. La question est plus nuancée s'agissant du geste du 28 novembre 2014 de l'intimé C______. En effet, s'il avait attrapé le gardien F______, l'intimé C______ aurait commis un acte d'entrave à l'accomplissement des tâches de ce dernier, dans la mesure où celui-ci aurait été privé de sa liberté de mouvement alors qu'il était occupé à les remplir. De surcroît, ses collègues auraient sans doute été contraints d'intervenir, pour le libérer, prévenir toute escalade et maîtriser le détenu. Cependant, il est plausible que le geste de l'intimé C______ ne visait pas à véritablement saisir le gardien mais plutôt à illustrer, renforcer, le propos selon lequel il tuerait le premier gardien qui pénètrerait dans la cellule. Il est difficile d'établir quelle était l'intention de l'intimé C______, dans la mesure où il était à ce moment dans un état de grande excitation, réclamant l'accès au corps médical et se frappant la tête contre les murs. Pour sa part, le gardien F______ n'a pas eu l'impression qu'il était l'objet d'une agression. Face à ces incertitudes, le doute doit l'emporter (art. 6 ch. 2 CEDH 32 al. 1 Cst. et 10 al. 3 CPP). En conclusion, il n'y a pas non plus lieu de réformer le jugement pour reconnaître l'un ou l'autre des intimés coupable(s) de tentative d'infraction à l'art. 285 CP. 2.4.3. L'appel du MP sera ainsi rejeté, et le jugement confirmé, ce qui n'enlève rien, comme la défense l'admet, au caractère inadmissible du comportement des intimés. Il reste que ce comportement n'a pas franchi la limite méritant une qualification pénale, alors qu'il justifiait sans aucun doute les sanctions disciplinaires prononcées.</w:t>
      </w:r>
    </w:p>
    <w:p>
      <w:r>
        <w:rPr>
          <w:b/>
        </w:rPr>
        <w:t>E. 3</w:t>
      </w:r>
    </w:p>
    <w:p>
      <w:r>
        <w:t>3.1. A juste titre, les intimés, dont l'acquittement, partiel pour l'un, est confirmé ne soutiennent pas avoir subi un préjudice dont ils devraient être indemnisés, au sens de l'art. 429 CPP.</w:t>
      </w:r>
    </w:p>
    <w:p>
      <w:r>
        <w:rPr>
          <w:b/>
        </w:rPr>
        <w:t>E. 3.2</w:t>
      </w:r>
    </w:p>
    <w:p>
      <w:r>
        <w:t>Vu l'issue de la procédure de deuxième instance, les frais en seront laissés à la charge de l'Etat.</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5.2.4.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5.3.1. En l'occurrence, le défenseur d'office de l'intimé A______ ne saurait être indemnisé pour l'opération consistant à demander la non-entrée en matière sur la déclaration d'appel du MP, s'agissant d'une démarche vouée à l'échec et téméraire. Il n'était pas davantage utile qu'il s'entretienne, personnellement ou par le truchement de sa stagiaire, à trois reprises avec son client, alors que les faits sont simples et étaient censés avoir déjà été discutés complètement en prévision des débats de première instance, à supposer qu'il n'était pas identifiable d'emblée que l'appel ne posait que des questions de droit. La visite à la prison ne se justifie par ailleurs pas au regard de la pratique sus-évoquée, dès lors que la détention de l'intimé n'était pas une détention provisoire ordonnée dans le cadre la présente procédure. En définitive, seul apparait raisonnable l'entretien entre l'intimé et l'avocate-stagiaire avant l'audience d'appel, s'agissant d'en expliquer le déroulement et les enjeux au client et de la préparer avec lui. Les trois heures et 10 minutes de préparation de la plaidoirie paraissent raisonnables, compte tenu de l'expérience moindre que l'on peut exiger d'une avocate-stagiaire. L'indemnité requise sera partant octroyée par CHF 407.15, pour des opérations ayant duré quatre heures et 40 minutes (audience comprise), au taux réservé aux avocats-stagiaires, plus l'indemnité forfaitaire de 20% pour les activités diverses (CHF 62.85) et la TVA au taux de 8% (CHF 30.15). 5.3.2. Le défenseur d'office de l'intimé C______, cheffe d'étude, ne peut prétendre à la même souplesse que sa jeune consœur. L'absence de difficulté de la cause, dans un dossier bien connu, ne pouvait nécessiter plus de deux heures – estimation large – de préparation, auxquelles il convient d'ajouter la durée de l'audience. Son activité sera partant rémunérée par CHF 777.60 (forfait 20% = CHF 120.- ; TVA 8% = CHF 57.60).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