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P/2827/2011 vom 15. September 2015</w:t>
      </w:r>
    </w:p>
    <w:p>
      <w:r>
        <w:t>GE Cour de justice, 2015-09-15, FR</w:t>
      </w:r>
    </w:p>
    <w:p>
      <w:r>
        <w:rPr>
          <w:b/>
        </w:rPr>
        <w:t xml:space="preserve">Quelle: </w:t>
      </w:r>
      <w:r>
        <w:t>https://mcp.opencaselaw.ch/entscheid/ge_gerichte_P_2827_2011</w:t>
      </w:r>
    </w:p>
    <w:p>
      <w:r>
        <w:t>FR: GE_GERICHTE P/2827/2011 du 15 septembre 2015</w:t>
      </w:r>
    </w:p>
    <w:p>
      <w:r>
        <w:t>IT: GE_GERICHTE P/2827/2011 del 15 settembre 2015</w:t>
      </w:r>
    </w:p>
    <w:p>
      <w:pPr>
        <w:pStyle w:val="Heading2"/>
      </w:pPr>
      <w:r>
        <w:t>Regeste</w:t>
      </w:r>
    </w:p>
    <w:p>
      <w:r>
        <w:t>IN DUBIO PRO REO; LÉSION CORPORELLE SIMPLE; PEINE PÉCUNIAIRE; EXCÈS; LÉGITIME DÉFENSE; PARTIE CIVILE; AVOCAT; HONORAIRES | CP.123; CP.15; CP.16; CP.144; CPP.433; CO.47; CP.34</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Confronté à des versions contradictoires, le juge du fait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2.1</w:t>
      </w:r>
    </w:p>
    <w:p>
      <w:r>
        <w:t>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2.2</w:t>
      </w:r>
    </w:p>
    <w:p>
      <w:r>
        <w:t>La distinction entre lésions corporelles et voies de fait (art. 126 CP) peut s'avérer délicate, notamment lorsque l'atteinte s'est limitée à des contusions, meurtrissures, des écorchures, des griffures ou des contusions (ATF 134 IV 189 consid. 1.3 p. 191).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La question peut parfois être résolue de manière satisfaisante par l'application de l'art. 123 ch. 1 al. 2 CP, qui permet une atténuation libre de la peine dans les cas de peu de gravité (ATF 134 IV 189 consid. 1.3. p. 192 ; 119 IV 25 consid. 2a p. 27).</w:t>
      </w:r>
    </w:p>
    <w:p>
      <w:r>
        <w:rPr>
          <w:b/>
        </w:rPr>
        <w:t>E. 2.3</w:t>
      </w:r>
    </w:p>
    <w:p>
      <w:r>
        <w:t>Les lésions corporelles sont qualifiées d'infraction intentionnelle de résultat.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135 IV 156 consid. 2.3.2 ; 134 IV 26 consid. 3.2.2 ; 133 IV 9 consid. 4.1 p. 579 ; 131 IV 1 consid. 2.2 p. 4 s. ; 130 IV 58 consid. 8.2 p. 61).</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134 IV 17 consid. 2.1 p. 19 ss ; 129 IV 6 consid. 6.1 p. 20 ; arrêt du Tribunal fédéral 6B_198/2013 du 3 juin 2013 consid. 1.1.1).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3.3</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(arrêt du Tribunal fédéral 6B_130/2009 du 24 mars 2009 consid. 3.2).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(arrêt du Tribunal fédéral 6P.140/2006 du 10 novembre 2006 consid. 14.3).</w:t>
      </w:r>
    </w:p>
    <w:p>
      <w:r>
        <w:rPr>
          <w:b/>
        </w:rPr>
        <w:t>E. 3.4</w:t>
      </w:r>
    </w:p>
    <w:p>
      <w:r>
        <w:t>En l'espèce, ni l'appelant ni l'appelant joint ne formulent de critique particulière sur la manière dont ont été fixées leurs peines respectives par le premier juge. Eu égard aux conclusions de la CPAR relatives à leur culpabilité, il convient toutefois de prononcer de nouvelles peines.</w:t>
      </w:r>
    </w:p>
    <w:p>
      <w:r>
        <w:rPr>
          <w:b/>
        </w:rPr>
        <w:t>E. 3.4.1</w:t>
      </w:r>
    </w:p>
    <w:p>
      <w:r>
        <w:t>La faute de l'appelant demeure non négligeable même s'il ne lui est plus reproché d'avoir causé une fracture à l'appelant joint. Il est allé jusqu'à s'en prendre à l'intégrité physique d'un résident des immeubles dont il a la charge pour une futile querelle liée à l'usage de la buanderie. Que l'appelant prenne son rôle de concierge à cœur et que la gestion des buanderies soit une tâche difficile face à des locataires négligents et exigeants ne justifie nullement son attitude. Sa longue expérience aurait dû lui permettre d'appréhender avec calme les situations quotidiennes de son métier. Or, il semble à teneur du dossier que son comportement à l'égard des locataires soit allé en se dégradant, aux propos désobligeants succédant désormais la violence physique. Les conséquences de son acte sont toutefois peu importantes, l'appelant joint s'étant totalement remis de ses blessures. La collaboration à la procédure a été mauvaise, l'appelant persistant à se poser en victime d'une situation qu'il a pourtant provoquée. Sa prise de conscience est en conséquence inexistante, quoiqu'un très léger début d'introspection ait pu être perceptible lors des débats d'appel, l'appelant admettant qu'il a peut-être mis les mains devant lui pendant la bagarre et disant regretter la haine qu'il suscite. L'appelant n'a pas d'antécédents, facteur toutefois neutre sur la fixation de la peine (ATF 136 IV 1 consid. 2.6). Contrairement à ce qu'a retenu le premier juge, une réduction de la peine sur le fondement de l'art. 54 CP ne peut être envisagée, la lésion à l'œil n'étant pas la conséquence directe des actes de l'appelant, mais de l'infraction commise par l'appelant joint. Nonobstant l'exclusion de cette disposition, le cas de peu gravité retenu par la CPAR et le verdict de culpabilité allégé pour les lésions corporelles simples conduisent au prononcé d'une peine inférieure à celle infligée par le premier juge. Compte tenu de l'ensemble des éléments qui précèdent, une peine pécuniaire de 70 jours-amende est justifiée. Le montant du jour-amende, fixé à CHF 80.- par le premier juge, est adapté à la situation financière de l’appelant et sera partant confirmé, de même que l'octroi du sursis, dont les conditions sont réalisées. Le délai d'épreuve de trois ans, nécessaire pour dissuader l'appelant de comportements similaires, doit aussi être confirmé.</w:t>
      </w:r>
    </w:p>
    <w:p>
      <w:r>
        <w:rPr>
          <w:b/>
        </w:rPr>
        <w:t>E. 3.4.2</w:t>
      </w:r>
    </w:p>
    <w:p>
      <w:r>
        <w:t>La faute de l'appelant joint n'est pas anodine. Il a réagi de manière totalement disproportionnée à l'attaque physique dont il a fait l'objet. Les conséquences de son impulsivité sont graves, l'appelant ayant pratiquement perdu l'usage d'un œil. Les rancœurs de l'appelant joint à l'égard du concierge de son immeuble ne justifient pas son acte, même dans l'optique d'un besoin de protection de sa mère. La collaboration à la procédure a été bonne. L'appelant joint a immédiatement fourni des indications utiles sur le litige qui l'avait opposé au concierge. La prise de conscience de sa faute demeure en revanche limitée, l'appelant joint persistant à considérer sa réaction justifiée. D'avoir atteint le stade de la violence physique dans ses rapports sociaux ne semble pas l'avoir effrayé et ses propos dénotent un manque d'empathie consternant. Le type de sanction à prononcer relevant de la peine pécuniaire, la peine est complémentaire à celle fixée par le Ministère public le 18 février 2014 et sera partant arrêtée à 70 jours-amende. Le montant du jour-amende, fixé à CHF 40.- par le premier juge, sera réduit à CHF 30.- pour tenir compte de l'évolution de la situation financière de l’appelant joint. Cette peine sera assortie du sursis, les conditions en étant réalisées, et le délai d'épreuve arrêté à trois ans. Le jugement entrepris sera modifié en ce sens.</w:t>
      </w:r>
    </w:p>
    <w:p>
      <w:r>
        <w:rPr>
          <w:b/>
        </w:rPr>
        <w:t>E. 4.1</w:t>
      </w:r>
    </w:p>
    <w:p>
      <w:r>
        <w:t>En vertu de l'art. 126 al. 1 CPP, le tribunal statue également sur les conclusions civiles présentées lorsqu'il rend un verdict de culpabilité à l'encontre du prévenu (let. a). Il en va de même lorsqu'il acquitte le prévenu et que l'état de fait est suffisamment établi (let. b). 4.2.1.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A titre d'exemple, une longue période de souffrance et d'incapacité de travail, de même que les préjudices psychiques importants sont des éléments déterminants (arrêt du Tribunal fédéral 4A_373/2007 du 8 janvier 2008 consid. 3.2, non publié in ATF 134 III 97 ; ATF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4.2.2.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Dans une cause jugée en 1978, le Tribunal fédéral avait reconnu une réparation morale de CHF 8'000.- à une victime ayant perdu un oeil, tenant compte des fautes respectives (atténuées en raison du jeune âge) de l'auteur de l'atteinte et de la victime (ATF 104 II 184 consid. 5) ; la même somme, réduite de moitié en raison d'une faute concurrente, avait été allouée en 1967 (ATF 102 II 18 consid. 2) ; en 1984, l'indemnité de tort moral consécutif à la perte de l'ouïe d'un côté a été estimée à CHF 5'000.- (ATF 110 II 163 consid. 2c). Une somme de CHF 8'000.- a à nouveau été allouée en 1995 à une victime ayant perdu un œil (ATF 121 II 369 consid. 6). D'une manière générale, la jurisprudence récente tend à allouer des montants de plus en plus importants au titre du tort moral (ATF 125 III 269 consid. 2a p. 274). 4.3.1. En l'espèce, les atteintes physiques et psychiques subies par l'appelant, directement liées aux infractions reprochées à l'appelant joint, remplissent à l'évidence le critère de la gravité, de sorte que le principe d'une indemnisation du tort moral est acquis. Il ne se justifie ni de réduire, ni d'augmenter le montant de CHF 5'000.- alloué par le premier juge à ce titre. L'appelant ne faisant pas valoir un préjudice matériel mais moral, le fait qu'il n'ait pas contacté les assurances idoines pour prendre en charge son dommage n'est d'aucune pertinence. Le premier juge a déjà tenu compte de manière adéquate de sa faute concomitante, de sorte qu'une réduction pour ce motif n'est pas non plus fondée. Une augmentation de l'indemnité ne se justifie pas au regard des souffrances éprouvées. La perte de visibilité à gauche, certes dérangeante dans le quotidien, n'est pas totale selon les propres dires de l'appelant et ne l'empêche pas de travailler ou de conduire des véhicules légers. L'évolution de son trouble depuis la dernière attestation, datée d'août 2014, n'est pas connue. Ses inquiétudes relatives au fait de devenir aveugle ne sont pas telles qu'il ait ressenti le besoin de recourir à une aide thérapeutique ou qu'il s'en trouve paralysé dans ses actes quotidiens. Il n'a été fait état d'aucune autre circonstance qui justifierait de s'écarter du montant arrêté par le premier juge, lequel pourrait même être jugé généreux en comparaison avec les montants alloués en cas de cécité, n'eût été la relative ancienneté des arrêts de référence évoqués. Au vu de ce qui précède, l'appel et l'appel joint doivent être rejetés et le jugement entrepris confirmé sur ce point. 4.3.2. Ainsi que l'a relevé le premier juge, les souffrances physiques de l'appelant joint n'ont en tout état été que passagères et de faible intensité vu les lésions à leur origine. L'appelant joint reconnaît d'ailleurs s'être totalement remis de la griffure et de la blessure à sa lèvre. La souffrance morale liée au fait de voir son neveu traumatisé par cette scène de violence, évoquée de manière très floue, n'atteint manifestement pas un seuil de gravité tel qu'une indemnité serait due à ce titre. Il n'est pas établi que la fracture du métacarpe a été causée par l'appelant, de sorte que celui-ci ne peut être tenu à une quelconque réparation des souffrances subies par l'appelant joint du fait de cette lésion, souffrances dont on relèvera au surplus qu'elles n'ont nullement été documentées. Au vu de ce qui précède, l'appel joint doit être rejeté et le jugement entrepris confirmé sur ce point.</w:t>
      </w:r>
    </w:p>
    <w:p>
      <w:r>
        <w:rPr>
          <w:b/>
        </w:rPr>
        <w:t>E. 5.1</w:t>
      </w:r>
    </w:p>
    <w:p>
      <w:r>
        <w:t>L'art. 433 al. 1 CPP, applicable à la procédure d'appel par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(arrêt du Tribunal fédéral 6B_965/2013 du 3 décembre 2013 consid. 3.1).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(arrêts du Tribunal fédéral 6B_965/2013 du 3 décembre 2013 consid. 3.1 et la doctrine citée ; 1B_475/2011 du 11 janvier 2012 consid. 2.2.). Celle-ci n'interviendra cependant que si la partie plaignante a eu la possibilité de faire valoir ses prétentions au cours de la procédure ( Message relatif à l'unification du droit de la procédure pénale (CPP) du 21 décembre 2005 , FF 2006 1315).</w:t>
      </w:r>
    </w:p>
    <w:p>
      <w:r>
        <w:rPr>
          <w:b/>
        </w:rPr>
        <w:t>E. 5.2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 n. 8 ad art. 433 ; N. SCHMID, op. cit., n. 3 ad art. 433).</w:t>
      </w:r>
    </w:p>
    <w:p>
      <w:r>
        <w:rPr>
          <w:b/>
        </w:rPr>
        <w:t>E. 5.3</w:t>
      </w:r>
    </w:p>
    <w:p>
      <w:r>
        <w:t>En l'espèce, en appel, l'appelant, en sa qualité de partie plaignante, n'obtient que partiellement gain de cause sur le point de la culpabilité de l'appelant joint vu la confirmation des verdicts du premier juge et succombe dans ses conclusions civiles. La situation de l'appelant joint en sa qualité de partie plaignante ne diffère guère, celui-ci obtenant une confirmation (partielle) du verdict de culpabilité prononcé à l'encontre de l'appelant et succombant dans ses conclusions civiles. Les notes d'honoraires relatives à la procédure d'appel produites par chaque conseil ne permettent pas de déterminer l'activité liée à la défense des intérêts de leurs mandants en tant que prévenu ou en tant que partie plaignante, et, dans ce dernier cas, l'activité consacrée à la procédure pénale et celle occasionnée par les conclusions civiles. Celle présentée par le conseil de l'appelant est par ailleurs en tout état excessive, les quelques 20 heures d'activité annoncées pour la procédure d'appel étant disproportionnées par rapport à la nature et la complexité de l'affaire, ce qui est confirmé par la comparaison avec l'activité déployée par le conseil de l'appelant joint, qui s'élève à sept heures, auxquelles il convient d'ajouter deux heures pour tenir compte du temps d'audience d'appel (quatre heures). Une activité de neuf heures en procédure d'appel est justifiée et adéquate au regard de la nature de l'affaire, de sorte que ce total doit être pris pour référence. Le taux horaire pratiqué par chaque conseil, de CHF 450.-, n'est pas critiquable au regard des tarifs appliqués dans le canton de Genève. Compte tenu de ce qui précède, la CPAR, en référence à la notion de juste indemnité inscrite à l'art. 433 CPP, considère qu'une indemnisation à hauteur de 2h30 d'activité, TVA incluse, reflète adéquatement la mesure dans laquelle chaque partie plaignante obtient gain de cause. L'appelant joint sera dès lors condamné à verser à l'appelant, partie plaignante, la somme de CHF 1'215.-, au titre des dépenses obligatoires occasionnées par la procédure d'appel, à l'instar de l'appelant à l'égard de son adverse partie, autre partie plaignante. 5.4.1. Concernant les prétentions de l'appelant en indemnisation de ses frais de défense pour la procédure de première instance, la CPAR relève que le refus d'entrer en matière du premier juge est justifié, l'appelant n'ayant pas chiffré ses prétentions comme l'exige l'art. 433 al. 2 CPP. L'appelant n'a pas été empêché de présenter ses conclusions, ce qu'il a d'ailleurs fait en demandant l'octroi d'une "équitable indemnité", signe qu'il connaissait ses droits. Il était par ailleurs assisté d'un conseil juridique depuis le début de la procédure. Dans ces circonstances, la CPAR ne voit aucune raison de s'écarter du texte clair de la loi. 5.4.2. Le premier juge a fait droit aux prétentions de l'appelant joint en indemnisation de ses frais de défense par l'appelant à raison d'une moitié de la note d'honoraires présentée, motif pris que le rapport d'activité ne permettait pas de distinguer "le temps consacré à la défense des intérêts de B______ en sa qualité de partie civile de celui consacré à sa défense pénale". Ce faisant, le tribunal de première instance ne semble pas avoir tenu compte du fait que l'appelant joint n'avait pas obtenu entièrement gain de cause en tant que partie plaignante, ayant succombé dans ses prétentions civiles. Il se justifie en conséquence de réduire le montant alloué. La CPAR estime qu'un montant de CHF 2'100.- représente une juste indemnité reflétant la mesure dans laquelle l'appelant joint, dans sa qualité de partie plaignante, a obtenu gain de cause en première instance. Contrairement à ce qu'a retenu le premier juge, cette somme n'a pas à porter intérêts. Le jugement entrepris sera modifié sur ce point.</w:t>
      </w:r>
    </w:p>
    <w:p>
      <w:r>
        <w:rPr>
          <w:b/>
        </w:rPr>
        <w:t>E. 6</w:t>
      </w:r>
    </w:p>
    <w:p>
      <w:r>
        <w:t>6.1.1. Aux termes de l'art. 429 al. 1 let. a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(arrêt du Tribunal fédéral 6B_187/2015 du 28 avril 2015 consid. 6.1.2 ; C. GENTON / C. PERRIER, « Les prétentions du prévenu en indemnités et en réparation du tort moral , Art. 429 &amp; ss CPP » , in Jusletter du 13 février 2012 ; A. KUHN / Y. JEANNERET (éds), op. cit. , n. 27 ad art. 429). 6.2.1. En l'espèce, vu l'issue de la procédure, les prétentions en indemnisation de l'appelant fondées sur l'art. 429 let. a CPP seront rejetées, sa culpabilité ayant été admise pour la quasi-totalité des faits reprochés dans l'acte d'accusation. 6.2.2. Les prétentions en indemnisation de l'appelant joint pour ses frais de défense – qu'il n'a eus à supporter que jusqu'à la nomination de son conseil en tant que défenseur d'office – seront également rejetées, l'acquittement relatif à l'infraction de dommages à la propriété relevant du même complexe de faits et étant tout à fait mineur au regard des autres faits reprochés.</w:t>
      </w:r>
    </w:p>
    <w:p>
      <w:r>
        <w:rPr>
          <w:b/>
        </w:rPr>
        <w:t>E. 7</w:t>
      </w:r>
    </w:p>
    <w:p>
      <w:r>
        <w:t>7.1.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7.2.1. L'appelant principal et l'appelant joint, qui succombent tant sur le principe de leur culpabilité que sur leurs conclusions civiles, seront condamnés, à raison de la moitié pour chacun, aux frais de la procédure d'appel, qui comprennent un émolument de CHF 3'000.- (art. 428 al. 1 CPP et 14 al. 1 let. e du Règlement fixant le tarif des frais en matière pénale [E 4 10.03]). 7.2.2. La répartition des frais de la procédure de première instance demeure justifiée vu les condamnations prononcées, confirmées en appel (art. 426 al. 1 CPP).</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20 octobre 2014. 8.2.1.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8.3</w:t>
      </w:r>
    </w:p>
    <w:p>
      <w:r>
        <w:t>En l'espèce, il a déjà été relevé ( supra consid. 5.3) que le nombre d'heures d'activité de M e X______ est adéquat au regard de la complexité de l'affaire. Le décompte déposé ne permet en revanche pas de déterminer quelle part de l'activité a été consacrée à la défense d'office de son mandant. La CPAR est en conséquence amenée à apprécier l'indemnité due à Me X______ en se fondant sur les principes résultant du RAJ. Au vu de la nature de l'affaire et du temps d'audience d'appel, la CPAR fixera à CHF 1'166.40 l'indemnité due à M e X______, correspondant à 4h30 d'activité d'un chef d'étude au tarif horaire de CHF 200.-, indemnité forfaitaire de 20% (CHF 180.-) et TVA (CHF 86.40) comprises.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