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P/2825/2008 vom 29. Oktober 2012</w:t>
      </w:r>
    </w:p>
    <w:p>
      <w:r>
        <w:t>GE Cour de justice, 2012-10-29, FR</w:t>
      </w:r>
    </w:p>
    <w:p>
      <w:r>
        <w:rPr>
          <w:b/>
        </w:rPr>
        <w:t xml:space="preserve">Quelle: </w:t>
      </w:r>
      <w:r>
        <w:t>https://mcp.opencaselaw.ch/entscheid/ge_gerichte_P_2825_2008</w:t>
      </w:r>
    </w:p>
    <w:p>
      <w:r>
        <w:t>FR: GE_GERICHTE P/2825/2008 du 29 octobre 2012</w:t>
      </w:r>
    </w:p>
    <w:p>
      <w:r>
        <w:t>IT: GE_GERICHTE P/2825/2008 del 29 ottobre 2012</w:t>
      </w:r>
    </w:p>
    <w:p>
      <w:pPr>
        <w:pStyle w:val="Heading2"/>
      </w:pPr>
      <w:r>
        <w:t>Regeste</w:t>
      </w:r>
    </w:p>
    <w:p>
      <w:r>
        <w:t>BLANCHIMENT D'ARGENT; CONFISCATION(DROIT PÉNAL); CRÉANCE | CP.305bis; CP.71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L’appelant conclut à son acquittement du chef d’infraction à l’art. 305 bis CP. 2.1.1. La présomption d’innocence, dont le principe in dubio pro reo est le corollaire, est garantie expressément par l’art. 6 par. 2 de la Convention de sauvegarde des droits de l’homme et des libertés fondamentales du 4 novembre 1950 (CEDH ; RS 0.101) et l’art.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objectivement, éprouver des doutes sérieux et irréductibles (ATF 127 I 38 consid. 2a p. 41 ; arrêt du Tribunal fédéral 6B_784/2011 du 12 mars 2012 consid. 1.1.2).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6B_234/2012 du 15 septembre 2012 consid. 1.1.2 et 6B_689/2011 du 1 er mars 2012 consid. 1.1). 2.1.2. Se rend coupable d’infraction à l’art. 305 bis ch. 1 CP celui qui aura commis un acte propre à entraver l’identification de l’origine, la découverte ou la confiscation de valeurs patrimoniales dont il savait ou devait présumer qu’elles provenaient d’un crime. Le cas est grave notamment lorsque l’auteur réalise un chiffre d’affaires ou un gain importants en faisant métier de blanchir de l’argent (let. c). 2.1.2.1. Le blanchiment d’argent est une infraction de mise en danger abstraite et non pas de résultat (ATF 128 IV 117 consid. 7a p. 131 ; ATF 127 IV 20 consid. 3a p. 25s). Le comportement délictueux consiste à entraver l’accès de l’autorité pénale au butin d’un crime, en rendant plus difficile l’établissement du lien de provenance entre la valeur patrimoniale et le crime. Par crime, on entend une infraction passible d’une peine privative de liberté de plus de trois ans (cf. art. 10 al. 2 CP), peu importe qu’elle soit poursuivie. Si l’acte a été commis à l’étranger, il doit être considéré comme une infraction dans l’Etat où il a été commis et constitue un crime selon le droit suisse (art. 305 bis ch. 3 CP ; ATF 126 IV 255 consid. 3a et 3b/aa p. 261). Tel est le cas des infractions graves à la loi fédérale sur les stupéfiants (art. 19 al. 2 de la loi fédérale sur les stupéfiants et les substances psychotropes du 3 octobre 1951 - LStup ; RS 812.121). La valeur patrimoniale provient d’un crime non seulement lorsqu’elle en constitue le produit, mais également lorsqu’elle a servi à le récompenser (B. CORBOZ, Les infractions en droit suisse , vol. II, 3 e édition, Berne 2010, n. 13 ad art. 305 bis CP). L’infraction peut être réalisée par n’importe quel acte propre à entraver l’identification de l’origine, la découverte ou la confiscation de la valeur patrimoniale provenant d’un crime (ATF 122 IV 211 consid. 2 p. 215 ; ATF 119 IV 242 consid. 1a p. 243). Ainsi, le fait de transférer des fonds de provenance criminelle d’un pays à un autre constitue un acte d’entrave (ATF 129 IV 271 consid. 2.1 p. 273), de même que la dissimulation d’argent provenant d’un trafic de drogue (ATF 119 IV 59 consid. 2d p. 63s), la ventilation de cet argent sur plusieurs comptes, transféré d’un compte à un autre en faisant intervenir des titulaires différents et des intermédiaires, puis placé sous forme anodine (ATF 119 IV 242 consid. 1d p. 244ss), l’échange d’argent liquide de provenance criminelle, en particulier de petites coupures provenant du commerce illicite de drogue contre d’autres coupures de valeur plus élevée (ATF 136 IV 188 consid. 6.1 p. 191 ; ATF 122 IV 211 consid. 2c p. 215s) ou encore le transfert des fonds à une société paravent (B. CORBOZ, op. cit. , n. 25 ad art. 305 bis CP). 2.1.2.2. Le blanchiment d’argent peut aussi être réalisé par omission si l’auteur se trouvait dans une position de garant qui entraînait pour lui une obligation juridique d’agir (cf. art. 11 CP ; ATF 136 IV 188 consid. 6.2 p. 191s ; ATF 134 IV 255 consid. 4.2.1 p. 259s). La loi fédérale concernant la lutte contre le blanchiment d’argent et le financement du terrorisme dans le secteur financier du 10 octobre 1997 (LBA ; RS 955.0), en vigueur depuis le 1 er avril 1998, définit les règles auxquelles sont astreints les intermédiaires financiers en matière de lutte contre le blanchiment d’argent. Ceux-ci sont dans une situation juridique particulière et tenus de collaborer à la lutte contre le blanchiment (art. 3 à 10a LBA) et sont ainsi dans une position de garant (ATF 136 IV 188 consid. 6.2.2 p. 196s). La Commission fédérale des banques (ci-après : CFB) a établi des directives relatives à la prévention et à la lutte contre le blanchiment de capitaux du 26 mars 1998 (ci-après : Circ.-CFB 98/1 Blanchiment de capitaux), applicables durant la période concernée, déterminant l’étendue du devoir de diligence découlant de la position de garant de l’intermédiaire financier et les actes qu’ils est tenu d’accomplir. Ainsi, l’intermédiaire financier doit clarifier l’arrière-plan économique et le but d’une transaction ou d’une relation d’affaires lorsque celles-ci paraissaient inhabituelles ou lorsque des indices laissent supposer que des valeurs patrimoniales proviennent d’un crime (cf. art. 6 LBA ; Circ.-CFB 98/1 Blanchiment de capitaux p. 3). Ces clarifications sont notamment nécessaires lorsque, au début d’une relation d’affaires, un client ou un tiers apporte des billets de banque pour une contre-valeur supérieure à CHF 100'000.- à créditer sur un compte ou qu’au cours d’une relation d’affaires, le montant d’une transaction ou le nombre de transactions apparaît anormalement élevé eu égard à l’activité et à la situation financière connue du client et/ou lorsque l’intermédiaire financier constate l’existence d’indices de blanchiment de capitaux au sens de l’annexe aux directives de la CFB et/ou constate l’existence d’autres indices lui faisant soupçonner que des valeurs patrimoniales sont d’origine criminelle (cf. art. 6 LBA ; Circ.-CFB 98/1 Blanchiment de capitaux p. 6 ; ATF 136 IV 188 consid. 6.31 p. 197s). Présentent notamment des risques particuliers de blanchiment les transactions dont la construction indique un but illicite, dont le but économique n’est pas reconnaissable, qui apparaissent absurdes d’un point de vue économique ou encore qui ne sont pas compatibles avec les informations et les expériences de l’intermédiaire financier concernant le client ou le but de la relation d’affaires. Doit également être considéré comme suspect tout client qui donne à l’intermédiaire financier des renseignements faux ou fallacieux ou qui, sans raison plausible, refuse de lui fournir les informations et les documents nécessaires, admis par les usages de l’activité concernée (Circ.-CFB 98/1 Blanchiment de capitaux ; ATF 136 IV 188 consid. 6.3.1 p. 198). L’intermédiaire financier doit exiger du cocontractant qu’il fournisse les informations propres à clarifier toutes situations inusuelles ou à dissiper tous doutes raisonnables. Il doit se procurer les informations, dont il doit vérifier la plausibilité, qui puissent lui permettre de porter une appréciation suffisante de l’arrière-plan économique des transactions et ne peut accepter n’importe quelles explications de son cocontractant ; nonobstant le rapport de confiance qu’il entretient avec son client, il doit procéder, avec un esprit critique, à un examen de la vraisemblance de ses dires. Le degré de cette analyse dépend de la nature de la relation d’affaires et des motifs ayant justifié la clarification. Celle-ci doit en particulier porter sur la provenance des fonds déposés, sur l’activité professionnelle ou commerciale du cocontractant ainsi que sur sa situation financière (cf. Circ.-CFB 98/1 Blanchiment de capitaux p. 6 ; ATF 136 IV 188 consid. 6.3.1 p. 198). 2.1.2.3. L’infraction de blanchiment est intentionnelle, le dol éventuel étant suffisant. L’auteur doit vouloir ou accepter que le comportement qu’il choisit d’adopter soit propre à provoquer l’entrave prohibée ; au moment d’agir, il doit s’accommoder d’une réalisation possible des éléments constitutifs de l’infraction (ATF 122 IV 211 consid. 2e p. 217).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122 IV 211 consid. 2e p. 217 ; ATF 119 IV 242 consid. 2b p. 247 ; arrêt du Tribunal fédéral 6S.37/2007 du 19 avril 2007 consid. 7.1.1). L’importance de la somme en jeu ne suffit normalement pas pour conclure que l’auteur s’accommodait d’une provenance criminelle ; il ne peut toutefois pas échapper à une condamnation pénale en alléguant simplement qu’il croyait à l’existence d’un délit plutôt que d’un crime s’il n’avait connaissance d’aucun indice concret de faits qualifiés de délit et qu’il a manifestement vu la possibilité que les fonds proviennent en réalité d’un crime (B. CORBOZ, op. cit. , n. 42 ad art. 305 bis CP). 2.1.2.4. L’art. 305 bis ch. 2 let. c CP prévoit que le cas est grave lorsque le délinquant réalise un chiffre d’affaires ou un gain importants en faisant métier de blanchir de l’argent. Pour que la circonstance aggravante du métier soit retenue, il faut, d’une part, que le chiffre d’affaires ou le gain soient importants. La jurisprudence a fixé le montant minimum à CHF 100'000.- pour le chiffre d’affaires (ATF 129 IV 188 consid. 3.1 p. 190ss) et à CHF 10'000.- pour le gain (ATF 129 IV 253 consid. 2.2 p. 255s), précisant que la durée de l’activité délictuelle ayant permis de réaliser le chiffre d’affaires ou le gain n’était pas décisive (ATF 129 IV 188 consid. 3.2 p. 192ss ; ATF 129 IV 253 consid. 2.2 p. 255 ; arrêt du Tribunal fédéral 6S.37/2007 du 19 avril 2007 consid. 7.2.1). D’autre part, les conditions jurisprudentielles du métier doivent être réalisées. Ainsi,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soit ainsi, d’une certaine façon, installé dans la délinquance (ATF 129 IV 253 consid. 2.1 p. 254). L’auteur doit avoir agi à plusieurs reprises, avoir eu l’intention d’obtenir un revenu et être prêt à réitérer ses agissements (ATF 119 IV 129 consid. 3 p. 133 ; arrêt du Tribunal fédéral 6S.37/2007 du 19 avril 2007 consid. 7.2.1).</w:t>
      </w:r>
    </w:p>
    <w:p>
      <w:r>
        <w:rPr>
          <w:b/>
        </w:rPr>
        <w:t>E. 2.2</w:t>
      </w:r>
    </w:p>
    <w:p>
      <w:r>
        <w:t>Il ressort de la procédure que D______, client de A______ SA de 2002 jusqu’en 2006, a été interpellé le 18 août 2007 en Uruguay alors qu’il prenait livraison de 495 kilos de cocaïne, l’enquête ayant révélé qu’il était à la tête d’un important trafic de stupéfiants entre l’Amérique du Sud et l’Europe sous le couvert d’une activité d’exportation de fruits. Ces faits, constitutifs d’infraction au droit suisse, sont un crime au sens de l’art. 19 al. 2 LStup.</w:t>
      </w:r>
    </w:p>
    <w:p>
      <w:r>
        <w:rPr>
          <w:b/>
        </w:rPr>
        <w:t>E. 2.2.1</w:t>
      </w:r>
    </w:p>
    <w:p>
      <w:r>
        <w:t>L’appelant conteste la provenance criminelle des avoirs remis en gestion à A______ SA par D______ en raison de l’exercice, par ce dernier, d’une activité parallèle, licite, dans le domaine du commerce de fruits. S’il est vrai que D______ exploitait la société AW______, qui exportait des fruits du Brésil à destination des Pays-Bas pour ensuite être revendus dans divers pays d’Europe, plusieurs éléments du dossier permettent de dissiper tout doute quant à la provenance criminelle des fonds confiés en gestion à A______ SA. Ceux-ci étaient ainsi apportés, dans les locaux de cette société, par la dénommée « BB______ », dont personne ne connaissait la réelle identité, sous la forme de petites coupures, notamment d’EUR 50.-, dans des valises, comme l’a mentionné AV______, pour ensuite être crédités sur le compte « H______ », ces apports ayant duré quatre mois pour un montant de plus de EUR 5'000'000.-, alors que D______ était censé approvisionner ce compte progressivement, sur plusieurs années. Au caractère pour le moins insolite de ces versements se sont substitués, près d’un an plus tard et de manière tout aussi irrégulière, des apports sous forme de virements bancaires par un processus de compensation, la structure mise en place ayant permis de faire transiter de l’argent liquide des Pays-Bas vers l’Espagne, où il était mis à disposition de divers tiers ayant besoin d’espèces et qui créditaient ensuite les comptes « H______ », respectivement « J______ », d’un montant correspondant, de manière à effacer toute trace de leur origine, pour des sommes avoisinant EUR 7'800'000.- sur une période d’un an. Outre le fait qu’il paraît peu plausible que des acheteurs aient accepté de payer d’importantes quantités de fruits en argent liquide, au demeurant en Euros, soit une monnaie n’ayant pas cours légal dans les pays de l’Est où D______ prétendait faire commerce, lors de l’interpellation des deux transporteurs espagnols par la police française en 2005, la perquisition de leur véhicule a révélé la présence de petites coupures, essentiellement d’EUR 50.-, dont l’analyse a révélé des traces anormalement élevées de stupéfiants. L’ensemble de ces éléments laisse ainsi apparaître que l’argent ne provenait pas du bénéfice d’une activité licite que D______ avait pour intention de soustraire aux impôts, mais de son activité illicite dans le domaine du trafic de stupéfiants.</w:t>
      </w:r>
    </w:p>
    <w:p>
      <w:r>
        <w:rPr>
          <w:b/>
        </w:rPr>
        <w:t>E. 2.2.2</w:t>
      </w:r>
    </w:p>
    <w:p>
      <w:r>
        <w:t>L’appelant conteste avoir commis un acte propre à entraver l’identification de l’origine, la découverte ou la confiscation de l’argent remis en gestion à A______ SA puisqu’en le créditant sur des comptes bancaires, il permettait plus aisément son identification. Ce raisonnement ne saurait être suivi, tant en raison de l’opacité des structures mises en place que de la manière par laquelle l’argent était transféré en Suisse. S’il est vrai que les comptes « H______ » et « J______ » mentionnaient comme ayant droit économique D______, cette information n’était connue que de A______ SA et des banques concernées, dès lors que les comptes ont été ouverts par les sociétés H______ et J______, toutes deux incorporées aux BVI, de manière à créer une apparente séparation entre celles-ci et D______. La manière par laquelle l’argent était crédité sur les comptes « H______ » et « J______ » permettait également d’en effacer la traçabilité. Le premier de ces comptes avait été alimenté essentiellement au moyen d’apports en espèces entre le 28 novembre 2002 et le 5 mars 2003 pour un montant de plus de EUR 5'000'000.-, de sorte qu’aucun lien ne pouvait être établi avec D______. Les virements bancaires effectués par la suite sur ces deux comptes avaient la même finalité, dès lors que par le processus de compensation, les fonds étaient en apparence versés par des sociétés sans lien avec D______, alors qu’ils correspondaient en réalité aux espèces que celui-ci, par l’intermédiaire de AI______, leur avait préalablement remises. De plus, après leur versement sur les comptes « H______ » et « J______ », les fonds ont, d’une part, rapidement été retirés et, d’autre part, progressivement été transférés à l’étranger, ce qui résulte des relevés bancaires, du courriel du 9 janvier 2006 et des déclarations de AV______, D______ ayant soldé ses comptes en 2006 et transféré l’intégralité de ses avoirs à l’étranger, principalement au Canada. Ces éléments constituent des actes d’entrave à l’identification de l’origine, de la découverte ou de la confiscation de l’argent auxquels l’appelant a activement contribué en créant les structures aux BVI, en ouvrant les comptes correspondants et en acceptant que les valeurs patrimoniales y soient créditées, puis débitées, de manière à effacer toute trace de leur provenance et tout lien avec D______.</w:t>
      </w:r>
    </w:p>
    <w:p>
      <w:r>
        <w:rPr>
          <w:b/>
        </w:rPr>
        <w:t>E. 2.2.3</w:t>
      </w:r>
    </w:p>
    <w:p>
      <w:r>
        <w:t>L’appelant conteste avoir su que les valeurs patrimoniales provenaient d’un crime. Comme il l’a admis, l’appelant était responsable du contrôle, au sein de A______ SA, du respect des règles en matière de lutte contre le blanchiment, dont il a du reste indiqué connaître le contenu. Il avait ainsi une position de garant. Le fait qu’il ait déclaré avoir concentré ses activités sur la gestion des avoirs des clients de la société suite aux pertes subies en 2004 n’y change rien, dès lors qu’il restait à la tête de celle-ci, conservant le devoir de diligence incombant à tout intermédiaire financier. Ce devoir impliquait des obligations d’analyse consistant notamment à se procurer les informations nécessaires à une appréciation suffisante de l’arrière-plan économique de ses relations d’affaires, en vérifier la plausibilité, ainsi qu’à procéder à une clarification accrue en présence d’indices de blanchiment. Durant toute la procédure, l’appelant a déclaré s’être informé auprès de son client de ses activités, ayant évalué le chiffre d’affaires de ses sociétés sur la base d’informations trouvées dans la presse, notamment un article concernant directement l’exploitation de ce dernier, arrivant à un résultat compatible avec les explications qui lui avaient été fournies. Cet article n’a toutefois pas été versé à la procédure, n’ayant pas été trouvé dans les dossiers de la société lors des différentes perquisitions. Du reste, l’appelant n’en a mentionné l’existence qu’en audience de jugement, s’étant limité durant la procédure à se référer à des articles généraux portant sur l’exportation fruitière du Brésil vers l’Europe, dont l’un postérieur à son « mémo » du 28 novembre 2002. Il en a ainsi déduit un bénéfice d’EUR 0.01 par kilo de fruits rendant plausible le bénéfice d’EUR 5'400'000.- annoncé par le client pour une exportation annuelle de 550'000 tonnes de fruits, ce qui s’est en réalité avéré représenter plus de 90 % de la quantité totale de fruits exportée par le Brésil par année dans le monde entier. Le calcul de l’appelant apparaît d’autant plus aléatoire qu’il a, tout en reconnaissant n’avoir aucune connaissance du domaine de l’exportation de fruits, indiqué avoir utilisé le prix des fruits lorsqu’il faisait son marché comme référence, ignorant le coût de production et de leur exportation, le chiffre d’affaires réalisé par région, le prix de vente dans d’autres pays, notamment ceux de l’Est, et ne distinguant pas les quantités de fruits vendues en Europe occidentale de celles qui l’étaient dans les pays de l’Est. L’appelant a également expliqué ne pas avoir eu connaissance de factures, de documents comptables ni d’autres documents ayant trait aux activités de la société AW______, s’étant limité à envoyer son employé AV______ à Rotterdam où celui-ci avait vu des palettes de fruits portant l’étiquette « AW______ », sans plus de détails, lui-même s’étant rendu au Brésil sans visiter l’exploitation de son client. S’il est vrai que ces documents n’auraient pas fait mention des activités de D______ en matière de trafic de stupéfiants, ils lui auraient à tout le moins permis de confronter les chiffres y figurant avec les allégués de ce dernier, de manière à pouvoir en examiner la véracité. De même, le fait que l’appelant a indiqué avoir demandé au client les états financiers de ses sociétés mais ne les avoir jamais obtenus n’est pas de nature à le disculper, dès lors que dans de telles circonstances, son devoir de diligence lui imposait de ne pas entrer en relation d’affaires avec D______, au regard du peu d’informations à sa disposition pour établir l’arrière-plan économique de ses activités et des opérations financières qu’il entendait effectuer. D’ailleurs, AV______ a lui-même indiqué qu’il ne se sentait pas « à l’aise » avec D______, qui n’avait pas les caractéristiques extérieures d’un « riche client habituel », dès lors qu’il n’avait aucune connaissance du domaine financier et que l’argent entrait sur ses comptes aussi rapidement qu’il en sortait. L’appelant s’est dès lors essentiellement basé sur les informations que lui avait fournies oralement son client, sans procéder aux vérifications commandées par les circonstances. Ces informations ne paraissent ainsi pas suffisantes, d’autant qu’au regard de son expérience dans le domaine de la gestion de fortune, il ne pouvait ignorer l’existence d’un certain nombre d’indices qui nécessitaient un devoir de vérification accru, tant au début de sa relation contractuelle avec D______ qu’au cours de celle-ci. Ainsi, la nationalité colombienne de l’intéressé, connu sous le pseudonyme de « E______ », devait-elle déjà éveiller sa vigilance, d’autant que le témoin BC______ a expliqué qu’il aurait fait preuve d’une attention accrue s’il l’avait connue ; il en va de même de son pays de résidence, le Brésil, et le pays de destination de la marchandise, les Pays-Bas, ceux-ci étant communément considérés comme des pays à risque en matière de trafic de stupéfiants et de blanchiment d’argent. Par ailleurs, au moment de l’ouverture de la relation, le client a effectué un apport en espèces d’EUR 493'600.-, soit un montant largement supérieur à la limite de CHF 100'000.- prévue par les directives de la CFB (cf. supra 2.1.2.2), ce que l’appelant a accepté sans procéder à des vérifications quant à la provenance de ces fonds, apportés en petites coupures dans une valise par la dénommée « BB______ », dont il ignorait la véritable identité. Ces apports en espèces se sont poursuivis pendant quatre mois, pour des montants importants, sans que l’appelant n’ait jamais demandé d’où ils provenaient, se contentant de supposer qu’ils venaient des Pays-Bas. Si le témoin BJ______ a certes loué le sérieux de son ancien étudiant dans la gestion de ses affaires concernant sa clientèle brésilienne, il n’en a pas moins relevé qu’il serait arrivé à une conclusion différente s’il avait vu dans les locaux de son entreprise une valise remplie de billets. L’appelant s’est également contenté des explications de son client quant à la provenance des espèces qui lui étaient remises, tenant pour acquis que les clients des pays de l’Est payaient des quantités importantes de fruits en petites coupures, ce qui paraît d’autant moins plausible que même AV______, dont l’expérience des affaires n’égalait pas celle de son employeur, avait été interpellé par l’étrangeté d’une telle pratique, aucun autre client de A______ SA ne procédant de la sorte, ce qu’ont confirmé AV______ et BG______. Il paraît tout aussi improbable que ces grossistes aient payé de tels montants en espèces, de plus de EUR 5'000'000.-, en petites coupures, alors même que cette monnaie n’avait pas cours dans les pays de l’Est, non membres de l’Union européenne et donc de la « zone EURO » à cette époque, ce que l’appelant a d’ailleurs admis, et qu’il ignorait le volume de fruits exportés dans ces pays, ses calculs n’ayant opéré aucune distinction selon le lieu d’exportation à travers l’Europe. La cessation de l’approvisionnement du compte « H______ » pendant plus d’un an, malgré l’annonce de fonds supplémentaires chaque année à hauteur de USD 1'000'000.-, comme mentionné dans les documents internes de la banque, devait également susciter de la part de l’appelant des interrogations, d’autant qu’il a lui-même indiqué s’occuper de la gestion des comptes de D______, l’un des plus importants clients de A______ SA, de sorte à avoir connaissance des mouvements y figurant. Il en va de même des opérations de compensation, les témoins BG______ et BI______ ayant indiqué que l’appelant était au courant de ce qui se passait au sein de sa société et qu’au regard des relations de confiance existant avec AV______, celui-ci lui faisait part de la marche des affaires, BI______ ayant précisé que les deux hommes se réunissaient quotidiennement à cette fin. AV______ a d’ailleurs corroboré ces affirmations, dès lors qu’il a expliqué de manière constante que son patron était au courant des opérations de compensation, qui étaient menées avec son accord. Après avoir nié en avoir eu connaissance, l’appelant s’est rétracté devant les premiers juges, considérant toutefois qu’elles ne le concernaient pas, malgré le relevé de son agenda, qui mentionne l’arrestation des deux convoyeurs espagnols officiant pour le compte de AI______, les déclarations du témoin BH______ relevant l’inquiétude de son employeur à ce propos, le rapport de voyage à Lisbonne du 10 novembre 2005 et le compte rendu du 12 janvier 2005, dont il ressort qu’après avoir vu D______, celui-ci avait relevé sa satisfaction au regard des services rendus, notamment quant aux transferts de ses fonds. Si ces opérations de compensation ne sont, en tant que telles, pas illicites, elles impliquent néanmoins une dissimulation de l’origine des fonds, ce qui aurait dû conduire l’appelant à faire preuve d’une diligence accrue, d’autant que D______ a continué à confier la gestion de ses fonds à A______ SA, malgré les pertes subies en 2004, ce qui ressort du compte rendu du 12 janvier 2005, et que la provenance de ces fonds supplémentaires, sous forme de virements de divers comptes bancaires en Suisse, a été faite par des ayants droit économiques et des sociétés ne présentant aucun lien avec le client, ce qui était de nature à susciter des interrogations chez l’appelant. Il en va de même du recours au compte de A______ SA pour le transfert d’EUR 1'000'000.- entre les comptes « H______ » et « AS______ » le 22 décembre 2004, qui se ne se justifiait pas vu les virements directs ultérieurs entre ces deux comptes, ainsi que des nombreux mouvements de débits enregistrés à compter de 2005 sur les comptes « H______ » et « J______ », faisant apparaître ceux-ci comme des comptes de passage, ce qu’a également relevé AV______. L’appelant ne saurait se prévaloir du fait que tant le B______ que la C______ ont accepté d’ouvrir les comptes « H______ » et « J______ » ainsi que les valeurs qui y étaient créditées, validant les explications qu’il leur avait fournies. Il perd ainsi de vue qu’en vertu de l’accord de gérant externe liant A______ SA aux établissements précités, cette société était habilitée à procéder elle-même à toutes les vérifications en matière de « due diligence ». Il ne saurait ainsi reprocher au B______ et à la C______ de s’être fiés aux explications qu’il leur avait fournies quant à la provenance de l’argent, d’autant qu’au regard du « mémo » du 28 novembre 2002 adressé au B______, il a mentionné s’être assuré de l’exactitude des informations fournies par D______ en procédant à toutes les vérifications usuelles et en se rendant même à Sao Paulo et à Rotterdam où il avait pu constater la véracité des dires du client, ce qui n’était toutefois pas le cas. Il n’est pas non plus déterminant que l’enquête menée par différentes polices au niveau international ait duré près de six ans pour aboutir à l’arrestation de D______, dès lors qu’il n’est pas reproché à l’appelant d’avoir omis de démanteler l’organisation criminelle de son client, mais d’avoir procédé au blanchiment de son argent, de manière à effacer tout lien entre le trafic de stupéfiants et son produit, préférant conserver l’un de ses plus importants clients plutôt que de procéder aux vérifications imposées par sa position d’intermédiaire financier. Il ressort de l’ensemble de ces éléments que l’appelant a, à tout le moins, envisagé que les fonds confiés par D______ étaient d’origine criminelle, les indices disponibles ne permettant pas une autre conclusion. Il s’est ainsi accommodé d’une réalisation possible des éléments constitutifs objectifs de l’infraction de blanchiment. Le jugement querellé sera par conséquent confirmé sur ce point.</w:t>
      </w:r>
    </w:p>
    <w:p>
      <w:r>
        <w:rPr>
          <w:b/>
        </w:rPr>
        <w:t>E. 2.2.4</w:t>
      </w:r>
    </w:p>
    <w:p>
      <w:r>
        <w:t>L’appelant conteste avoir agi par métier au sens de l’art. 305 bis ch. 2 al. 2 let. c CP. Administrateur et actionnaire unique de A______ SA, dont le but social est la gestion de fortune, l’appelant a pris en gestion les avoirs d’origine criminelle de D______, commettant de nombreux actes de blanchiment. Ainsi, dans le cadre de l’exercice de sa société et sous le couvert d’une activité de gestion, il a effacé toute trace entre le trafic de stupéfiants de son client et l’argent que celui-ci lui a remis, blanchissant un montant de plus d’EUR 15'000'000.- entre novembre 2002 et octobre 2005 à la manière d’une profession, ne cessant cette activité qu’après que D______ eut fait transférer l’intégralité de ses avoirs à l’étranger. Pour ses activités, A______ SA a perçu des honoraires, que l’appelant situe entre CHF 120'000.- et CHF 150'000.-, tandis que le tableau retraçant les mouvements de fonds enregistrés sur les comptes « H______ » et « J______ » fait mention de montants de USD 172'702.- et EUR 14'456.-, soit dans les deux cas un montant largement supérieur au seuil arrêté par la jurisprudence à CHF 100'000.- pour le chiffre d’affaires réalisé (cf. supra 2.1.2.4). C’est dès lors à juste titre que les premiers juges ont reconnu l’appelant coupable de blanchiment d’argent par métier (art. 305 bis ch. 1 et 2 al. 2 let. c CP), les faits relatifs à cette infraction n’étant du reste pas prescrits (cf. art. 97 al. 1 let. b CP).</w:t>
      </w:r>
    </w:p>
    <w:p>
      <w:r>
        <w:rPr>
          <w:b/>
        </w:rPr>
        <w:t>E. 3</w:t>
      </w:r>
    </w:p>
    <w:p>
      <w:r>
        <w:t>L’appelant requiert l’application de l’art. 52 CP.</w:t>
      </w:r>
    </w:p>
    <w:p>
      <w:r>
        <w:rPr>
          <w:b/>
        </w:rPr>
        <w:t>E. 3.1</w:t>
      </w:r>
    </w:p>
    <w:p>
      <w:r>
        <w:t>Selon l’art. 52 CP, si la culpabilité de l’auteur et les conséquences de son acte sont peu importantes, l’autorité compétente renonce à lui infliger une peine, cette exemption étant de nature impérative lorsque les conditions sont remplies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w:t>
      </w:r>
    </w:p>
    <w:p>
      <w:r>
        <w:rPr>
          <w:b/>
        </w:rPr>
        <w:t>E. 3.2</w:t>
      </w:r>
    </w:p>
    <w:p>
      <w:r>
        <w:t>En l’espèce, s’il est vrai que les faits à l’origine de la présente procédure remontent à fin 2002, ce seul élément ne saurait conduire à l’application de l’art. 52 CP, dès lors que la culpabilité de l’appelant et les conséquences de ses actes ne sont pas de peu d’importance. L’appelant a exercé son activité délictueuse de 2002 à 2005, n’y ayant mis un terme que suite à l’interception des convoyeurs espagnols en 2005 et après la clôture des comptes du client en 2006. Il a commis des actes de blanchiment portant sur un montant considérable, de plus de EUR 15'000'000.-, permettant à D______ de transférer l’intégralité de ses avoirs à l’étranger, sans qu’un lien avec son trafic de stupéfiants ne puisse être établi, ses comptes ayant été clôturés avant que l’argent n’ait pu être saisi. L’appelant ne saurait se prévaloir du fait qu’il conduit à présent ses affaires de manière irréprochable, dès lors qu’il s’agit d’une évolution qui correspond à celle attendue de la part de tout auteur d’une infraction. Il n’y a par conséquent pas lieu d’exempter l’appelant de toute peine, les conditions de l’art. 52 CP n’étant pas réunies. L’appelant ne conteste du reste ni la nature, ni la quotité de la sanction prononcée à son encontre par les premiers juges, fixée conformément aux critères des art. 47ss CP, de sorte qu’elle sera confirmée.</w:t>
      </w:r>
    </w:p>
    <w:p>
      <w:r>
        <w:rPr>
          <w:b/>
        </w:rPr>
        <w:t>E. 4</w:t>
      </w:r>
    </w:p>
    <w:p>
      <w:r>
        <w:t>L’appelant conteste le prononcé d’une créance compensatrice en faveur de l’Etat.</w:t>
      </w:r>
    </w:p>
    <w:p>
      <w:r>
        <w:rPr>
          <w:b/>
        </w:rPr>
        <w:t>E. 4.1</w:t>
      </w:r>
    </w:p>
    <w:p>
      <w:r>
        <w:t>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132 II 178 consid. 4.1 p. 178 ; ATF 129 IV 322 consid. 2.2.4 p. 327 ; ATF 117 IV 107 consid. 2a p. 110). La confiscation ne constitue pas une sanction in personam , mais une mesure réelle ( in rem ), dont le but premier consiste à éviter le maintien d’un avantage consécutif à un acte pénalement punissable (M. HIRSIG-VOUILLOZ, Le nouveau droit suisse de la confiscation pénale et de la créance compensatrice, art. 69 à 73 CP , PJA 2007 1376, p. 1388 et 1391). Dès lors qu’il s’agit d’une mesure qui porte gravement atteinte à la propriété, elle doit respecter le principe de la proportionnalité (ATF 125 IV 185 consid. 2a p. 187 ; ATF 116 IV 117 consid. 2a p. 121). Pour qu’elle puisse être ordonnée, il faut qu’une infraction ait été commise, que tous les éléments constitutifs objectifs et subjectifs de cette infraction soient établis et que les fonds visés par la confiscation soient le résultat de la commission de cette infraction (ATF 129 IV 81 consid. 4.1 p. 93 ; arrêts du Tribunal fédéral 6S.79/2006 du 24 mai 2006 consid. 3 et 6S.357/2002 du 18 décembre 2002 consid. 4.2). L’infraction doit ainsi être la cause essentielle et adéquate de l’obtention des valeurs patrimoniales et celles-ci doivent typiquement provenir de l’infraction en question (ATF 129 II 453 consid. 4.1 p. 461). Il en est ainsi lorsque l’obtention des valeurs patrimoniales est un élément objectif ou subjectif de l’infraction ou lorsqu’elle constitue un avantage direct découlant de la commission de l’infraction (ATF 129 II 453 consid. 4.1 p. 461 ; ATF 126 I 97 consid. 3c/bb p. 105 ; SJ 1999 p. 417 consid. 2a p. 419). A titre d’exemple, les provisions encaissées à titre de rétribution pour le transfert d’argent d’une personne, dont l’identité n’a pas été établie en violation de l’art. 305 ter al. 1 CP, peuvent faire l’objet d’une confiscation (ATF 129 IV 338 consid. 8 p. 343s). Le droit d’ordonner la confiscation de valeurs se prescrit par sept ans, à moins que la poursuite de l’infraction en cause ne soit soumise à une prescription d’une durée plus longue ; celle-ci est alors applicable (art. 70 al. 3 CP). Lorsque les valeurs à confisquer ne sont plus disponibles, le juge ordonne, selon l’art. 71 CP, leur remplacement par une créance compensatrice de l’Etat d’un montant équivalent dont le but est d’éviter que celui qui a disposé des objets ou valeurs à confisquer soit privilégié par rapport à celui qui les a conservés (ATF 124 I 6 consid. 4b/bb p. 8s ; ATF 123 IV 70 consid. 3 p. 74 ; arrêt du Tribunal fédéral 6B_326/2011 du 14 février 2012 consid. 2.1). La notion de créance compensatrice est plus large que celle d’enrichissement illégitime (ATF 119 IV 17 consid. 2c p. 22 ; ATF 100 IV 104 consid. 1 p. 105). La créance compensatrice est une dette d’argent. L’avantage doit avoir une valeur économique et revêtir la forme d’une augmentation de l’actif, d’une diminution du passif, d’une non-augmentation du passif ou d’une non-diminution de l’actif (ATF 119 IV 17 consid. 2c p. 22). Pour fixer le montant de la créance compensatrice, il faut prendre en considération la totalité de l’avantage économique obtenu au moment de l’infraction (ATF 104 IV 2 consid. 2 p. 5, 6). En règle générale, le montant de la créance compensatrice doit être arrêté selon le principe des recettes brutes. Il n’y a pas lieu de rechercher le bénéfice net, mais le chiffre d’affaires brut ou le prix de vente, sans déduction du prix d’achat ou des frais de production (ATF 124 I 6 consid. 4b/bb p. 8s ; ATF 119 IV 17 consid. 2a p. 20 ; arrêt du Tribunal fédéral 6P.138/2006 du 22 septembre 2006 consid. 5). La règle des recettes brutes n’est cependant pas absolue (arrêt du Tribunal fédéral 6P.138/2006 du 22 septembre 2006 consid. 5). De par son caractère subsidiaire, la créance compensatrice ne peut être ordonnée que pour autant que l’action en confiscation ne soit pas prescrite (ATF 129 IV 305 consid. 6.2.1 p. 313).</w:t>
      </w:r>
    </w:p>
    <w:p>
      <w:r>
        <w:rPr>
          <w:b/>
        </w:rPr>
        <w:t>E. 4.2</w:t>
      </w:r>
    </w:p>
    <w:p>
      <w:r>
        <w:t>En l’espèce, par l’intermédiaire de A______ SA, l’appelant a facturé les prestations fournies à D______. Les commissions de gestion perçues par cette société rémunèrent aussi la gestion des transferts de fonds et les actes de dissimulation, ce qui résulte du compte rendu du 12 janvier 2005. Du reste, les avoirs de D______ ne sont pas restés à demeure sur les comptes « H______ » et « J______ », ce qui aurait permis une véritable gestion et justifié le paiement d’honoraires à ce titre, mais n’y ont que transité, comme l’a indiqué AV______. Il apparaît ainsi que ces honoraires ont été perçus sur des avoirs provenant du blanchiment, ce que l’appelant savait ou devait à tout le moins présumer, de sorte qu’ils peuvent faire l’objet d’une mesure de confiscation. S’il est vrai que ces honoraires ont été facturés par A______ SA, il n’en demeure pas moins qu’au moment des faits, l’appelant était administrateur et actionnaire unique de cette société, ce qu’il est encore actuellement, de sorte que les honoraires facturés par celle-ci lui ont directement profité. Ces revenus n’étant toutefois plus disponibles, c’est à juste titre que les premiers juges ont prononcé à l’encontre de l’appelant une créance compensatrice, dont il ne conteste du reste pas le montant. Le jugement querellé sera par conséquent également confirmé sur ce point.</w:t>
      </w:r>
    </w:p>
    <w:p>
      <w:r>
        <w:rPr>
          <w:b/>
        </w:rPr>
        <w:t>E. 5</w:t>
      </w:r>
    </w:p>
    <w:p>
      <w:r>
        <w:t>5.1. Selon l’art. 426 al. 1 CPP, le prévenu supporte les frais de la procédure s’il est condamné. Il doit ainsi rembourser à l’Etat les frais que ce dernier a avancés dans le cadre de la procédure (cf. A. KUHN / Y JEANNERET (éd.), Commentaire romand : Code de procédure pénale suisse , Bâle 2011, n. 1 ad art. 426 CPP), ces frais étant établis conformément au Règlement fixant le tarif des frais en matière pénale du 22 décembre 2010 (RTFMP - E 4 10.03). Aux termes de l’art. 418 al. 1 CPP, lorsque plusieurs personnes sont astreintes au paiement des frais, notamment en application de l’art. 426 CPP, ceux-ci sont répartis proportionnellement entre elles. Tel est le cas des frais n’ayant pas été causés par une seule mais par plusieurs personnes participant à la procédure et qui les concernent toutes (A. KUHN / Y JEANNERET (éd.), op. cit. , n. 1 ad art. 418 CPP). Lorsque les frais liés à une affaire sont élevés ou paraissent disproportionnés, il peut être décidé de les réduire pour des motifs d’équité liés à la procédure, lorsqu’un chef d’accusation important n’a pas été retenu contre le condamné ou lorsque la procédure a été prolongée ou compliquée sans son fait, ou encore lorsque une mesure coûteuse ordonnée dans l’enquête s’avère avoir été superflue. Un large pouvoir d’appréciation doit être laissé dans ces cas à l’autorité de jugement ( AARP/318/2012 du 16 octobre 2012 consid. 3.1). En appel, l’art. 428 al. 1 CPP dispose que les frais sont mis à la charge des parties dans la mesure où elles ont obtenu gain de cause ou succombé. Pour déterminer si une partie succombe ou obtient gain de cause, il faut examiner dans quelle mesure ses conclusions sont admises (arrêt du Tribunal fédéral 1B_575/2011 du 29 février 2012 consid. 2.1).</w:t>
      </w:r>
    </w:p>
    <w:p>
      <w:r>
        <w:rPr>
          <w:b/>
        </w:rPr>
        <w:t>E. 5.2</w:t>
      </w:r>
    </w:p>
    <w:p>
      <w:r>
        <w:t>C’est à juste titre que les premiers juges ont mis les frais de la procédure à la charge de l’appelant, dès lors qu’il a été reconnu coupable de blanchiment d’argent et condamné à ce titre. La présente procédure a nécessité un certain nombre d’audiences d’instruction et l’audition de différents témoins, tant en Suisse qu’à l’étranger, afin de faire la lumière notamment sur le processus de compensation, dont l’appelant a constamment nié l’existence, mais qui se trouve au cœur du mécanisme de blanchiment mis en place. Le fait qu’il n’ait pas été entendu lors de chaque audience d’instruction s’explique, d’une part, par les mesures de supersuspension ordonnées à plusieurs reprises et, d’autre part, par son absence à une importante audience d’instruction s’étant tenue le 26 janvier 2010 de 08h30 à 19h40. L’appelant ne saurait davantage se prévaloir du fait que AV______ a été condamné au paiement des frais d’un montant inférieur, dès lors qu’il n’a pas fait opposition à l’ordonnance de condamnation du juge d’instruction et qu’en qualité d’employé de l’appelant, il en était le subordonné. L’autorité de jugement n’a ainsi pas excédé ni abusé de son pouvoir d’appréciation. Du reste, ces frais apparaissent conformes aux dispositions du RTFMP, de sorte que le jugement querellé sera confirmé sur ce point. Devant la Chambre de céans, l’appelant succombe intégralement, de sorte qu’il supportera les frais de la procédure d’appel envers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