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P/28090/2023 vom 3. April 2025</w:t>
      </w:r>
    </w:p>
    <w:p>
      <w:r>
        <w:t>GE Cour de justice, 2025-04-03, FR</w:t>
      </w:r>
    </w:p>
    <w:p>
      <w:r>
        <w:rPr>
          <w:b/>
        </w:rPr>
        <w:t xml:space="preserve">Quelle: </w:t>
      </w:r>
      <w:r>
        <w:t>https://mcp.opencaselaw.ch/entscheid/ge_gerichte_P_28090_2023</w:t>
      </w:r>
    </w:p>
    <w:p>
      <w:r>
        <w:t>FR: GE_GERICHTE P/28090/2023 du 3 avril 2025</w:t>
      </w:r>
    </w:p>
    <w:p>
      <w:r>
        <w:t>IT: GE_GERICHTE P/28090/2023 del 3 aprile 2025</w:t>
      </w:r>
    </w:p>
    <w:p>
      <w:pPr>
        <w:pStyle w:val="Heading2"/>
      </w:pPr>
      <w:r>
        <w:t>Regeste</w:t>
      </w:r>
    </w:p>
    <w:p>
      <w:r>
        <w:t>OPPOSITION TARDIVE;ORDONNANCE PÉNALE;NOTIFICATION DE LA DÉCISION;FICTION DE LA NOTIFICATION | CPP.354; CPP.85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ne pas avoir eu connaissance de l'ordonnance pénale du 21 mars 2024 lors de sa notification, laquelle n'était finalement intervenue que consécutivement à l'envoi, par le Ministère public, le 5 juin 2024, d'une copie de cette ordonnance.</w:t>
      </w:r>
    </w:p>
    <w:p>
      <w:r>
        <w:rPr>
          <w:b/>
        </w:rPr>
        <w:t>E. 2.1</w:t>
      </w:r>
    </w:p>
    <w:p>
      <w:r>
        <w:t>L'ordonnance pénale est immédiatement notifiée par écrit aux personnes et aux autorités qui ont qualité pour former opposition (art. 353 al. 3 CPP) et le prévenu dispose d'un délai de dix jours pour y former opposition (art. 354 al. 1 let. a CPP). 2.2.1. Les autorités pénales notifient leurs prononcés par lettre signature ou par tout autre mode de communication impliquant un accusé de réception, notamment par l'entremise de la police (art. 85 al. 2 CPP). 2.2.2. Est déterminante la prise de connaissance effective de l'envoi par le destinataire. À la prise de connaissance par le destinataire est assimilée la réception par un employé ou toute personne de plus de seize ans vivant dans le même ménage (art. 85 al. 3 CPP; arrêt du Tribunal fédéral 6B_363/2022 du 26 septembre 2022 consid. 2.2.1). 2.2.3. Aux termes de l'art. 85 al. 4 let. a CPP, un prononcé est également réputé notifié lorsque, expédié par lettre signature, il n'a pas été retiré dans les sept jours à compter de la tentative infructueuse de remise du pli, si la personne concernée devait s'attendre à une telle remise. Constituant une exception au principe de la prise de connaissance effective (ATF 144 IV 57 consid. 2.3.2), cette fiction de notification ne peut toutefois intervenir que si la personne concernée a été effectivement avisée de la possibilité de retirer le prononcé, ce qui n'est en particulier pas réalisé lorsque l'envoi est retourné à l'expéditeur avec la mention selon laquelle le destinataire est " introuvable " ou " inconnu " à l'adresse indiquée, voire qu'il est " parti sans laisser d'adresse " (arrêt du Tribunal fédéral 6B_467/2022 du 12 décembre 2022 consid. 1.1.2).</w:t>
      </w:r>
    </w:p>
    <w:p>
      <w:r>
        <w:rPr>
          <w:b/>
        </w:rPr>
        <w:t>E. 2.3</w:t>
      </w:r>
    </w:p>
    <w:p>
      <w:r>
        <w:t>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2.4</w:t>
      </w:r>
    </w:p>
    <w:p>
      <w:r>
        <w:t>En l'espèce, le pli contenant l'ordonnance pénale a été correctement envoyé à l'adresse du recourant, avec le nom de ce dernier en évidence dans la fenêtre de l'enveloppe prévue à cet effet. Ce pli n'ayant pas été réceptionné au domicile, la Poste a laissé un avis de retrait dans la boîte aux lettres. Il appert toutefois que la personne invitée par l'avis à venir retirer le pli recommandé était non pas le recourant, mais son épouse. Il s'agit là d'une erreur de la Poste, l'enveloppe étant bien destinée à celui-ci et non celle-là. Ainsi, point n'est besoin de savoir si le recourant devait s'attendre à recevoir un acte des autorités pénales. Au regard de l'avis de retrait, il ne pouvait dans tous les cas pas supputer que celui-ci le visait en réalité et concernait l'ordonnance pénale du 21 mars 2024, ce d'autant que l'avis en question mentionnait une " lettre/recommandé " et non un " acte judiciaire ". Enfin, l'art. 85 al. 3 CPP traite des prononcés des autorités pénales, et non de l'avis de retrait de la Poste. Il est donc sans importance que l'avis de retrait libellé au nom de l'épouse du recourant soit entré dans la " sphère familiale " de ce dernier. Dans ces circonstances, la fiction de notification prévue à l'art. 85 al. 4 CPP ne saurait lui être opposée. En conséquence, il doit être retenu que le recourant a pris connaissance de l'ordonnance pénale du 21 mars 2024 pour la première fois avec l'envoi de sa copie par le Ministère public, le 5 juin 2024. Partant, l'opposition, envoyée le 14 suivant, n'est pas tardive.</w:t>
      </w:r>
    </w:p>
    <w:p>
      <w:r>
        <w:rPr>
          <w:b/>
        </w:rPr>
        <w:t>E. 3</w:t>
      </w:r>
    </w:p>
    <w:p>
      <w:r>
        <w:t>Le recours sera admis et, partant, l'ordonnance querellée annulée. Par souci d'économie de procédure, la cause sera renvoyée directement au Ministère public pour qu'il statue, au sens de l'art. 355 CPP, sur l'opposition formée par le recourant à l'ordonnance pénale du 21 mars 2024 ( ACPR/38/2025 du 14 janvier 2025 consid. 3; ACPR/198/2023 du 17 mars 2023 consid. 3; ACPR/90/2021 du 10 février 2021 consid. 2.3).</w:t>
      </w:r>
    </w:p>
    <w:p>
      <w:r>
        <w:rPr>
          <w:b/>
        </w:rPr>
        <w:t>E. 4</w:t>
      </w:r>
    </w:p>
    <w:p>
      <w:r>
        <w:t>L'admission du recours ne donne pas lieu à la perception de frais (art. 428 al. 1 CPP).</w:t>
      </w:r>
    </w:p>
    <w:p>
      <w:r>
        <w:rPr>
          <w:b/>
        </w:rPr>
        <w:t>E. 5</w:t>
      </w:r>
    </w:p>
    <w:p>
      <w:r>
        <w:t>Le recourant, prévenu qui obtient gain de cause, conclut à l'octroi de dépens, sans toutefois les chiffrer, ni les justifier. Tenue de statuer d'office (art. 429 al. 2 cum art. 436 al. 1 CPP), la Chambre de céans lui allouera, ex aequo et bono , une somme de CHF 600.- TTC, compte tenu de l'issue de la cause, dépourvue de complexité juridique, et du recours de 6 pages (page de garde et conclusions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