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P/2808/2016 vom 31. Juli 2018</w:t>
      </w:r>
    </w:p>
    <w:p>
      <w:r>
        <w:t>GE Cour de justice, 2018-07-31, FR</w:t>
      </w:r>
    </w:p>
    <w:p>
      <w:r>
        <w:rPr>
          <w:b/>
        </w:rPr>
        <w:t xml:space="preserve">Quelle: </w:t>
      </w:r>
      <w:r>
        <w:t>https://mcp.opencaselaw.ch/entscheid/ge_gerichte_P_2808_2016</w:t>
      </w:r>
    </w:p>
    <w:p>
      <w:r>
        <w:t>FR: GE_GERICHTE P/2808/2016 du 31 juillet 2018</w:t>
      </w:r>
    </w:p>
    <w:p>
      <w:r>
        <w:t>IT: GE_GERICHTE P/2808/2016 del 31 luglio 2018</w:t>
      </w:r>
    </w:p>
    <w:p>
      <w:pPr>
        <w:pStyle w:val="Heading2"/>
      </w:pPr>
      <w:r>
        <w:t>Regeste</w:t>
      </w:r>
    </w:p>
    <w:p>
      <w:r>
        <w:t>CONCLUSIONS ; OPPOSITION(PROCÉDURE) | CPP.85; CPP.356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2.1</w:t>
      </w:r>
    </w:p>
    <w:p>
      <w:r>
        <w:t>Conformément à un principe général de procédure, les conclusions constatatoires ont un caractère subsidiaire et ne sont recevables que lorsque des conclusions condamnatoires ou formatrices sont exclues (ATF 135 I 119 consid. 4 p. 122; arrêt du Tribunal fédéral 1C_79/2009 du 24 septembre 2009 consid. 3.5 publié in ZBl 2011 p. 275; ACPR/596/2015 du 4 novembre 2015 consid. 2.1).</w:t>
      </w:r>
    </w:p>
    <w:p>
      <w:r>
        <w:rPr>
          <w:b/>
        </w:rPr>
        <w:t>E. 2.2</w:t>
      </w:r>
    </w:p>
    <w:p>
      <w:r>
        <w:t>Bien qu'assisté d'un avocat le recourant ne conclut pas à l'annulation de la décision entreprise. On peut cependant déduire de la motivation du recours que contestant la validité de la notification de l'ordonnance pénale et dès lors la tardiveté de son opposition, il demande l'annulation de la décision. Par contre ses conclusions en constatation de la nullité de la condamnation sont irrecevables, la Chambre de céans n'étant pas compétente pour statuer sur le fond du litige.</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4.1</w:t>
      </w:r>
    </w:p>
    <w:p>
      <w:r>
        <w:t>Aux termes de l'art. 356 CPP,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Seul ce tribunal est compétent pour statuer sur la validité de l'opposition à l'ordonnance pénale (ATF 140 IV 192 consid. 1.3 p. 195). L'examen de la validité de l'opposition a lieu d'office (arrêts du Tribunal fédéral 6B_910/2017 du 29 décembre 2017 consid. 2.4; 6B_848/2013 du 3 avril 2014 consid. 1.3.2). Lorsque l'opposition n'est pas valable, notamment car elle est tardive (cf. ATF 142 IV 201 consid. 2.2 p. 204), le tribunal de première instance n'entre pas en matière (cf. Message du 21 décembre 2005 relatif à l'unification de la procédure pénale, FF 2006 1275 ad art. 360). À teneur de l'art. 354 CPP, le prévenu peut former opposition contre l'ordonnance pénale devant le Ministère public, par écrit et dans les 10 jours (al. 1 let. a). Si aucune opposition n'est valablement formée, l'ordonnance pénale est assimilée à un jugement entré en force (al. 3).</w:t>
      </w:r>
    </w:p>
    <w:p>
      <w:r>
        <w:rPr>
          <w:b/>
        </w:rPr>
        <w:t>E. 4.2</w:t>
      </w:r>
    </w:p>
    <w:p>
      <w:r>
        <w:t>Selon l'art. 85 CPP, les autorités pénales notifient leurs prononcés par lettre signature ou par tout autre mode de communication impliquant un accusé de réception (al. 2); le prononcé est réputé notifié lorsque, expédié par lettre signature, il n'a pas été retiré dans les 7 jours à compter de la tentative infructueuse de remise du pli, si la personne concernée devait s'attendre à une telle remise (al. 4 let. a). Selon la jurisprudence, les accords éventuellement passés entre la poste et le destinataire d'un envoi à remettre contre signature, relatifs à une prolongation du délai de garde à l'office postal, n'ont aucune incidence sur la computation des délais. Quel que soit l'accord intervenu, une notification fictive s'accomplit le septième jour suivant la première tentative infructueuse de remise de l'envoi. Celui qui se sait partie à une procédure judiciaire doit s'attendre à recevoir des notifications du juge et il doit prendre des dispositions adéquates pour que son courrier lui parvienne même s'il s'absente de son domicile. L'ordre donné à l'office postal de conserver les envois n'est pas une mesure adéquate (arrêt du Tribunal fédéral 6B_754/2017 du 10 octobre 2017 consid. 2).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141 II 429 consid. 3.1); 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130 III 396 consid. 1.2.3 ; arrêt du Tribunal fédéral 6B_314/2012 du 18 février 2013 consid. 1.3.1). L'obligation pour la personne de prendre des dispositions pour être atteinte naît lorsqu'elle est clairement informée par la police qu'elle fait l'objet d'une poursuite pénale ( ibidem ), donc en particulier lorsqu'elle a été entendue par la police en qualité de prévenu ( ACPR/436/2013 consid. 3.1). La communication, par le Ministère public, de l'ouverture d'une procédure n'est pas nécessaire pour admettre que le prévenu entendu par la police doit s'attendre à ce qu'une ordonnance pénale lui soit notifiée (arrêt du Tribunal fédéral 6B_448/2014 du 30 octobre 2014 consid. 1.2 et références citées). Il faut cependant réserver le cas où la direction de la procédure est demeurée passive pendant une longue période, laissant à penser que l'affaire aurait été classée. À ce propos, le Tribunal fédéral a considéré que la notification d'une ordonnance de non-entrée en matière trois mois et demi après le dépôt de la plainte ne représentait pas une longue période (arrêt 1B_675/2011 du 14 décembre 2011). La doctrine met en parallèle la jurisprudence rendue en matière de droit administratif, laquelle considère qu'un délai de l'ordre d'une année est admissible, avec la situation en matière d'ordonnance pénale, se demandant si celui qui a été entendu une fois par la police - par exemple pour une infraction à la LCR - doit véritablement s'attendre durant un an à recevoir une communication et organiser ses affaires en conséquence. L'auteur finit par demander si, dans le cas particulier de l'ordonnance pénale, un laps de temps jusqu'à six mois ne serait pas plus raisonnable (CH. DENYS, Ordonnance pénale : questions choisies et jurisprudence récente , in SJ 2016 II p. 125ss, p. 130 et références citées). La Chambre de céans a eu la même appréciation, en estimant que l'écoulement d'un délai de quatre mois entre l'audition à la police du prévenu et la notification de l'ordonnance pénale permettait d'appliquer l'art. 85 al. 4 let. a CPP ( ACPR/470/2013 du 10 octobre 2013 ; ACPR/202/2016 du 12 avril 2016). En revanche, elle a jugé que l'écoulement de huit mois et demi entre ces deux mêmes actes devait être considéré comme une longue période de passivité du Ministère public, au sens de la jurisprudence, de sorte que le prévenu pouvait penser que cette affaire avait été classée ( ACPR/825/2017 du 30 novembre 2017 ; ACPR/78/2014 du 3 février 2014).</w:t>
      </w:r>
    </w:p>
    <w:p>
      <w:r>
        <w:rPr>
          <w:b/>
        </w:rPr>
        <w:t>E. 4.3</w:t>
      </w:r>
    </w:p>
    <w:p>
      <w:r>
        <w:t>En l'espèce, le recourant a été entendu, le 19 septembre 2017, par la police en qualité de prévenu d'infraction à la LCR pour avoir mis une moto de grosse cylindrée à disposition de son cousin dont il savait ou aurait pu savoir qu'il n'était pas titulaire du permis nécessaire. Il a signé le formulaire relatif à ses droits et obligations, lequel fait régulièrement référence à sa qualité de prévenu, et a transmis les documents relatifs à sa situation financière. Il a consulté la procédure, le 20 octobre 2017, dans les locaux du Ministère public et y a vu les extraits de son casier judiciaire et de celui de son cousin faisant référence à cette procédure, celui le concernant mentionnant clairement l'infraction de " mise d'un véhicule à la disposition d'un conducteur sans permis de conduire " tandis que celui de son cousin visait deux infractions différentes soit " conduite d'un véhicule automobile sans le permis de conduire requis " et " violation grave des règles de la circulation routière ". Cette inscription ne lui a pas échappé puisqu'il a chargé son conseil d'agir pour rectifier la situation. Enfin, le délai entre son audition par la police le 19 septembre 2017 et l'ordonnance pénale du 8 novembre 2017 n'est en rien critiquable et ne pouvait lui laisser penser que la procédure contre lui était close. L'ordonnance pénale lui a, en outre, valablement été notifiée, la constitution de son avocat étant postérieure à la notification. Le délai pour y faire opposition est arrivé à échéance le 11 décembre 2017, soit à l'expiration du délai de dix jours à compter de la fin du délai de garde postal - la prolongation de celui-ci à la Poste étant sans effet - de sorte que l'opposition formée le 3 janvier 2018 est tardive.</w:t>
      </w:r>
    </w:p>
    <w:p>
      <w:r>
        <w:rPr>
          <w:b/>
        </w:rPr>
        <w:t>E. 5</w:t>
      </w:r>
    </w:p>
    <w:p>
      <w:r>
        <w:t>Le recourant reproche au Ministère public d'avoir violé le principe de la bonne foi en n'informant pas son conseil de la notification de l'ordonnance pénale.</w:t>
      </w:r>
    </w:p>
    <w:p>
      <w:r>
        <w:rPr>
          <w:b/>
        </w:rPr>
        <w:t>E. 5.1</w:t>
      </w:r>
    </w:p>
    <w:p>
      <w:r>
        <w:t>Selon l'art. 5 al. 3 Cst., les organes de l'État et les particuliers doivent agir de manière conforme aux règles de la bonne foi. Même si l'art. 3 al. 2 let. a CPP ne semble imposer qu'aux autorités pénales de se conformer au principe de la bonne foi, le respect des règles de la bonne foi vaut aussi pour le prévenu (arrêt du Tribunal fédéral 1B_321/2013 du 30 octobre 2013 consid. 2.1). On déduit en particulier de ce principe l'interdiction des comportements contradictoires (ATF 131 I 185 consid. 3.2.4; arrêt du Tribunal fédéral 6B_214/ 2011 du 13 septembre 2011 consid. 4.1.3; arrêt du Tribunal fédéral 6B_1122/2013 du 6 mai 2014 consid. 1.3).</w:t>
      </w:r>
    </w:p>
    <w:p>
      <w:r>
        <w:rPr>
          <w:b/>
        </w:rPr>
        <w:t>E. 5.2</w:t>
      </w:r>
    </w:p>
    <w:p>
      <w:r>
        <w:t>En l'occurrence, on ne saurait reprocher au Ministère public de ne pas avoir rendu attentif le recourant à la notification de l'ordonnance pénale dont il ignorait alors que le prévenu ne l'avait pas retirée. Le Procureur pouvait légitiment considérer qu'un conseil ayant été chargé des intérêts du recourant a posteriori, il ne lui appartenait pas d'interférer dans sa défense. Il appartenait au recourant d'aller chercher le recommandé dont il avait réceptionné l'avis le 24 novembre 2017.</w:t>
      </w:r>
    </w:p>
    <w:p>
      <w:r>
        <w:rPr>
          <w:b/>
        </w:rPr>
        <w:t>E. 6</w:t>
      </w:r>
    </w:p>
    <w:p>
      <w:r>
        <w:t>Justifiée, l'ordonnance querellée sera donc confirmée.</w:t>
      </w:r>
    </w:p>
    <w:p>
      <w:r>
        <w:rPr>
          <w:b/>
        </w:rPr>
        <w:t>E. 7</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