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P/28008/2023 vom 21. März 2024</w:t>
      </w:r>
    </w:p>
    <w:p>
      <w:r>
        <w:t>GE Cour de justice, 2024-03-21, FR</w:t>
      </w:r>
    </w:p>
    <w:p>
      <w:r>
        <w:rPr>
          <w:b/>
        </w:rPr>
        <w:t xml:space="preserve">Quelle: </w:t>
      </w:r>
      <w:r>
        <w:t>https://mcp.opencaselaw.ch/entscheid/ge_gerichte_P_28008_2023</w:t>
      </w:r>
    </w:p>
    <w:p>
      <w:r>
        <w:t>FR: GE_GERICHTE P/28008/2023 du 21 mars 2024</w:t>
      </w:r>
    </w:p>
    <w:p>
      <w:r>
        <w:t>IT: GE_GERICHTE P/28008/2023 del 21 marzo 2024</w:t>
      </w:r>
    </w:p>
    <w:p>
      <w:pPr>
        <w:pStyle w:val="Heading2"/>
      </w:pPr>
      <w:r>
        <w:t>Regeste</w:t>
      </w:r>
    </w:p>
    <w:p>
      <w:r>
        <w:t>DÉTENTION PROVISOIRE;RISQUE DE RÉCIDIVE;PROPORTIONNALITÉ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Les charges n'étant pas discutées par le recourant, il n'y a pas à y revenir mais à renvoyer, en tant que de besoin, à la motivation adoptée par le premier juge (art. 82 al. 4 CPP; ACPR/747/2020 du 22 octobre 2020 consid. 2 et les références).</w:t>
      </w:r>
    </w:p>
    <w:p>
      <w:r>
        <w:rPr>
          <w:b/>
        </w:rPr>
        <w:t>E. 3</w:t>
      </w:r>
    </w:p>
    <w:p>
      <w:r>
        <w:t>Le recourant estime ne présenter aucun risque de réitération.</w:t>
      </w:r>
    </w:p>
    <w:p>
      <w:r>
        <w:rPr>
          <w:b/>
        </w:rPr>
        <w:t>E. 3.1</w:t>
      </w:r>
    </w:p>
    <w:p>
      <w:r>
        <w:t>En vertu de l'art. 221 al. 1 let. c CPP, l'existence d'un risque de récidive permet d'ordonner la détention provisoire s'il y a lieu de craindre que le prévenu fortement soupçonné d'un crime ou d'un délit ne compromette sérieusement et de manière imminente la sécurité d'autrui en commettant des crimes ou des délits graves après avoir déjà commis des infractions du même genre. Cette disposition requiert au moins deux infractions préalables ayant fait l'objet d'un jugement entré en force (voir le Message du Conseil fédéral concernant la modification du code de procédure pénale FF 2019 6351, p. 6395). La révision de cette disposition, entrée en vigueur le 1 er janvier 2024, a eu pour but de préciser le risque comme devant être " imminent ", ce qui ne ressortait pas du texte légal antérieur (C. CORMINBOEUF HARARI, Révision du CPP quelles nouveautés ? , in Revue de l'avocat 3/2023 p. 111 et suivantes, p. 115). L'art. 221 al. 1bis CPP est un nouvel alinéa, lui aussi entré en vigueur le 1 er janvier 2024, qui permet d'ordonner " exceptionnellement " la détention provisoire lorsque que le prévenu est fortement soupçonné d'avoir porté gravement atteinte à l'intégrité physique, psychique ou sexuelle d'autrui en commettant un crime ou un délit grave et s'il y a un danger sérieux et imminent qu'il commette un crime grave du même genre. Le but de cette nouvelle réglementation est de codifier la jurisprudence (ATF 146 IV 136 consid. 2.2 ; 143 IV 9 consid. 2.3.1 ; 137 IV 13 consid. 3-4), qui permettait déjà de tenir compte d'un risque de récidive pour ordonner la détention, même si le prévenu n'avait pas été condamné antérieurement (Message du Conseil fédéral précité, p. 6395 ; arrêt du Tribunal fédéral 7B_1025/2023 du 23 janvier 2024 consid. 3.2). Il est ainsi possible de se fonder sur les infractions faisant l'objet de la procédure pénale en cours pour retenir un risque de récidive, si le prévenu est fortement soupçonné – avec une probabilité confinant à la certitude – de les avoirs commises (ATF 143 IV 9 consid. 2.3.1). Selon la jurisprudence,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w:t>
      </w:r>
    </w:p>
    <w:p>
      <w:r>
        <w:rPr>
          <w:b/>
        </w:rPr>
        <w:t>E. 3.2</w:t>
      </w:r>
    </w:p>
    <w:p>
      <w:r>
        <w:t>En l'espèce, il est reproché au recourant d'avoir porté atteinte gravement et de manière répétée à l'intégrité sexuelle de deux mineures contactées par le biais de réseaux sociaux, étant souligné qu'il n'a pas hésité à se rendre chez l'une d'elles, en France, pour entretenir des relations sexuelles avec elle. Ses explications selon lesquelles F______, âgée de 13 ans, était "[ s ] a copine " [alors que lui-même a 46 ans] et qu'il voulait la " protéger " sont préoccupantes, tout comme les pressions exercées sur l'autre mineure, E______, afin d'obtenir qu'elle se masturbe dans une vidéo. Le risque qu'il commette de nouvelles infractions, nonobstant l'absence d'antécédents spécifiques, parait ainsi élevé et ne saurait être amoindri par les regrets exprimés, étant souligné que ses nombreux antécédents montrent une imperméabilité certaine à la sanction. Seule l'expertise psychiatrique annoncée par le Ministère public permettra de déterminer l'existence d'un trouble mental, son éventuelle dangerosité, et le cas échéant, les mesures à mettre en place.</w:t>
      </w:r>
    </w:p>
    <w:p>
      <w:r>
        <w:rPr>
          <w:b/>
        </w:rPr>
        <w:t>E. 4</w:t>
      </w:r>
    </w:p>
    <w:p>
      <w:r>
        <w:t>Le risque de récidive étant réalisé, l'autorité de recours peut se dispenser d'examiner, en l'état, si le risque de collusion – alternatif – l'est également (arrêt du Tribunal fédéral 7B_1009/2023 du 6 février 2024 consid. 5.5. et les références).</w:t>
      </w:r>
    </w:p>
    <w:p>
      <w:r>
        <w:rPr>
          <w:b/>
        </w:rPr>
        <w:t>E. 5</w:t>
      </w:r>
    </w:p>
    <w:p>
      <w:r>
        <w:t>.1. Selon le principe de la proportionnalité (art. 36 al. 3 Cst., concrétisé par l'art. 237 al. 1 CPP), le tribunal compétent ordonne une ou plusieurs mesures moins sévères en lieu et place de la détention si elles permettent d'atteindre le même but que la détention. 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5.2</w:t>
      </w:r>
    </w:p>
    <w:p>
      <w:r>
        <w:t>En l'espèce, le recourant propose, à titre de mesure de substitution, à ce qu'il lui soit fait interdiction d'accéder à un quelconque réseau social. Cette mesure – outre le fait qu'elle reposerait essentiellement sur l'engagement du prévenu de s'y soumettre – parait difficilement contrôlable dès lors que, même si son ordinateur a été saisi, il lui serait aisé d'accéder aux réseaux sociaux par d'autres biais, y compris en utilisant des pseudos. Par ailleurs, une obligation de continuer un suivi psychothérapeutique, non défini, parait insuffisante à pallier un risque de réitération aussi important, étant rappelé que le traitement médical dont il bénéficiait avant son incarcération ne l'a pas empêché de commettre les infractions reprochées. Les autres mesures proposées par le recourant [l’interdiction de contacter les victimes, l'interdiction de quitter la Suisse et l'obligation de déposer son passeport] servent à prévenir le risque de collusion, non examiné ici, ainsi que le risque de fuite, non retenu.</w:t>
      </w:r>
    </w:p>
    <w:p>
      <w:r>
        <w:rPr>
          <w:b/>
        </w:rPr>
        <w:t>E. 6</w:t>
      </w:r>
    </w:p>
    <w:p>
      <w:r>
        <w:t>Le recourant se plaint de la violation du principe de célérité.</w:t>
      </w:r>
    </w:p>
    <w:p>
      <w:r>
        <w:rPr>
          <w:b/>
        </w:rPr>
        <w:t>E. 6.1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diligence consacrée à une instruction pénale ne s'apprécie pas seulement à l'aune du nombre ou de la fréquence des audiences d'instruction (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6.2</w:t>
      </w:r>
    </w:p>
    <w:p>
      <w:r>
        <w:t>En l'espèce, la procédure ne viole pas le principe de la célérité. Aucun retard dans la conduite de l'instruction ne peut être reproché au Procureur, vu les actes d'enquête en cours, étant souligné que l'audition de la mineure F______ devra se faire par le biais de l'entraide compte tenu de son domicile français. Les principes jurisprudentiels sus-rappelés étant respectés, le grief du recourant est infondé.</w:t>
      </w:r>
    </w:p>
    <w:p>
      <w:r>
        <w:rPr>
          <w:b/>
        </w:rPr>
        <w:t>E. 7</w:t>
      </w:r>
    </w:p>
    <w:p>
      <w:r>
        <w:t>La prolongation de la détention provisoire, à ce stade, ne paraît pas excéder la peine concrètement encourue par le recourant (art. 212 al. 3 CPP), s'il était reconnu coupable des infractions reprochées par le Ministère public.</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 E 4 10.03).</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