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P/27857/2023 vom 15. Januar 2024</w:t>
      </w:r>
    </w:p>
    <w:p>
      <w:r>
        <w:t>GE Cour de justice, 2024-01-15, FR</w:t>
      </w:r>
    </w:p>
    <w:p>
      <w:r>
        <w:rPr>
          <w:b/>
        </w:rPr>
        <w:t xml:space="preserve">Quelle: </w:t>
      </w:r>
      <w:r>
        <w:t>https://mcp.opencaselaw.ch/entscheid/ge_gerichte_P_27857_2023</w:t>
      </w:r>
    </w:p>
    <w:p>
      <w:r>
        <w:t>FR: GE_GERICHTE P/27857/2023 du 15 janvier 2024</w:t>
      </w:r>
    </w:p>
    <w:p>
      <w:r>
        <w:t>IT: GE_GERICHTE P/27857/2023 del 15 gennaio 2024</w:t>
      </w:r>
    </w:p>
    <w:p>
      <w:pPr>
        <w:pStyle w:val="Heading2"/>
      </w:pPr>
      <w:r>
        <w:t>Regeste</w:t>
      </w:r>
    </w:p>
    <w:p>
      <w:r>
        <w:t>ORDONNANCE DE NON-ENTRÉE EN MATIÈRE;DIFFAMATION;CALOMNIE;PRINCIPE DE LA BONNE FOI;PREUVE LIBÉRATOIRE | CPP.310; CP.173; CP.174</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Ministère public de ne pas avoir pu faire valoir ses réquisitions de preuve avant la reddition de l'ordonnance querellée, ainsi qu'une constatation incomplète et erronée des faits.</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terme " immédiatement " indique que l'ordonnance de non-entrée en matière doit être rendue à réception de la dénonciation, de la plainte ou du rapport de police avant qu'il ne soit procédé à de plus amples actes d'enquête et qu'une instruction ne soit ouverte selon l'art. 309 CPP (arrêt du Tribunal fédéral 6B_89/2022 du 2 juin 2022 consid. 2.2). L'audition du prévenu et de la partie plaignante par la police ne dépasse pas le cadre des investigations policières qui peuvent être effectuées avant que le ministère public n'ouvre une instruction (art. 206 al. 1 CPP; arrêt du Tribunal fédéral 6B_89/2022 précité consid. 2.2). Avant l'ouverture d'une instruction, le droit de participer à l'administration des preuves ne s'applique en principe pas (art. 147 al. 1 CPP a contrario; ATF 143 IV 397 consid. 3.3.2 i. f. et 140 IV 172 consid. 1.2.2).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(arrêt du Tribunal fédéral 6B_866/2021 précité consid. 2.2.2).</w:t>
      </w:r>
    </w:p>
    <w:p>
      <w:r>
        <w:rPr>
          <w:b/>
        </w:rPr>
        <w:t>E. 3.2</w:t>
      </w:r>
    </w:p>
    <w:p>
      <w:r>
        <w:t>En l'espèce, la procédure n'a pas dépassé la phase des investigations policières, de sorte que le Ministère public était dispensé d'entendre la recourante avant de prononcer sa décision querellée. Pour le surplus, l'intéressée a pu faire valoir devant la Chambre de céans – qui dispose d'un plein pouvoir de cognition en fait et en droit (art. 391 al. 1 et 393 al. 2 CPP) – les arguments qu'elle estimait pertinents. De même, les éventuelles constatations inexactes du Ministère public dont la recourante se plaint, sans autre développement, auront été corrigées dans l'état de fait établi ci-avant. Partant, ces griefs sont rejetés.</w:t>
      </w:r>
    </w:p>
    <w:p>
      <w:r>
        <w:rPr>
          <w:b/>
        </w:rPr>
        <w:t>E. 4</w:t>
      </w:r>
    </w:p>
    <w:p>
      <w:r>
        <w:t>La recourante soutient que les propos tenus par la mise en cause étaient diffamants, voire calomnieux, et que les conditions d'application de la preuve libératoire de l'art. 173 ch. 2 CP n'étaient pas réunies, si bien que le Ministère public aurait dû entrer en matière sur sa plainte pénale.</w:t>
      </w:r>
    </w:p>
    <w:p>
      <w:r>
        <w:rPr>
          <w:b/>
        </w:rPr>
        <w:t>E. 4.1</w:t>
      </w:r>
    </w:p>
    <w:p>
      <w:r>
        <w:t>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 4.2.1. Se rend coupable de diffamation au sens de l'art. 173 ch. 1 CP, quiconque, en s'adressant à un tiers, aura accusé une personne ou jeté sur elle le soupçon de tenir une conduite contraire à l'honneur, ou de tout autre fait propre à porter atteinte à sa considération, de même que celui qui aura propagé une telle accusation ou un tel soupçon. 4.2.2. En 2007, le Tribunal fédéral considérait attentatoire à l'honneur de reprocher à un individu d'avoir un comportement socialement mal vu en matière sexuelle, tel que l'adultère et la prostitution (arrêt du Tribunal fédéral 6S_5/2007 du 14 mars 2007 consid. 3.1). En 2017, il a estimé qu'une déclaration selon laquelle une personne avait elle-même été active dans le milieu des quartiers chauds – comme entretenir des contacts avec des proxénètes et des prostituées et être actif dans ce type de commerce – la faisait apparaître au moins comme une personne moralement douteuse, selon la conception morale qui prévalait à ce jour. L'accusation d'un comportement socialement désapprouvé et moralement reprochable dans la sphère sexuelle au sens large pouvait être attentatoire à l'honneur, indépendamment du fait que ces activités soient légales (arrêt du Tribunal fédéral 6B_584/2016 du 6 février 2017 consid. 3.2.1). Plus récemment toutefois, dans le cadre de l'examen d'une escroquerie (art. 146 CP), le Tribunal fédéral a considéré qu'au vu de l'évolution des valeurs éthiques, le contrat de prostitution ne pouvait plus être qualifié systématiquement de contraire aux mœurs, donc nul au sens de l'art. 19 al. 2 CO (arrêt du Tribunal fédéral 6B_572/2020 du 8 janvier 2021 consid. 5.1 et 5.2). 4.2.3. Conformément à l'art. 173 ch. 2 CP, même si le caractère diffamatoire des propos ou des écrits litigieux est établi, l'inculpé n'encourra aucune peine s'il prouve que les allégations qu'il a articulées ou propagées sont conformes à la vérité ou qu'il avait des raisons sérieuses de les tenir de bonne foi pour vraies. Lorsque la preuve de la bonne foi est apportée, l'accusé doit être acquitté (ATF 119 IV 44 consid. 3 p. 48). L'admission de la preuve libératoire constitue la règle et elle ne peut être refusée que si l'auteur a agi principalement dans le but de dire du mal d'autrui et s'il s'est exprimé sans motif suffisant (ATF 132 IV 112 consid. 3.1 p. 116). Pour échapper à la sanction pénale, l'accusé de bonne foi doit prouver qu'il a cru à la véracité de ses allégations après avoir fait consciencieusement tout ce que l'on pouvait attendre de lui pour s'assurer de leur exactitude. Pour dire si l'accusé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(ATF 124 IV 149 consid. 3b p. 151 et 152 et les références citées; arrêt du Tribunal fédéral 6B_632/2015 du 9 octobre 2015 consid. 1).</w:t>
      </w:r>
    </w:p>
    <w:p>
      <w:r>
        <w:rPr>
          <w:b/>
        </w:rPr>
        <w:t>E. 4.3</w:t>
      </w:r>
    </w:p>
    <w:p>
      <w:r>
        <w:t>La calomnie (art. 174 CP) est une forme qualifiée de diffamation, dont elle se distingue par le fait que les allégations attentatoires à l'honneur sont fausses, que l'auteur a connaissance de la fausseté de ses allégations et qu'il n'y a, dès lors, pas de place pour les preuves libératoires prévues par l'art. 173 CP (arrêt du Tribunal fédéral 6B_1286/2016 du 15 août 2017 consid. 1.2).</w:t>
      </w:r>
    </w:p>
    <w:p>
      <w:r>
        <w:rPr>
          <w:b/>
        </w:rPr>
        <w:t>E. 4.4</w:t>
      </w:r>
    </w:p>
    <w:p>
      <w:r>
        <w:t>En l'espèce, au vu de l'évolution jurisprudentielle rappelée ci-dessus, il n'est pas certain que prétendre qu'une personne s'adonnerait à la prostitution soit attentatoire à son honneur. Cela étant, même à considérer que les allégations de la mise en cause, qui soutient en sus que la recourante présenterait des jeunes filles à des hommes dans un but pécuniaire, auraient jeté sur cette dernière un soupçon de comportement contraire à l'honneur, il y aurait lieu de constater que les conditions des preuves libératoires de l'art. 173 ch. 2 CP étaient manifestement remplies. En effet, il ressort des déclarations de la mise en cause à la police qu'elle s'est basée sur ses propres constatations pour rédiger son écrit, étant relevé que les intéressées semblent s'être côtoyées dans une plus large mesure que ce que la recourante a admis lors de son audition. Ainsi, le train de vie de la recourante, qui voyageait beaucoup, portait des bijoux et vêtements luxueux, disposait d'importantes sommes d'argent en espèces et avait acquis un appartement au Maroc, ne semblait pas correspondre aux revenus d'une personne au bénéfice de l'aide de l'Hospice général. La mise en cause ajoute avoir vu, lors de visites au domicile de la recourante, que cette dernière logeait des jeunes filles. Dans l'attestation litigieuse, la mise en cause a tout d'abord nuancé ses propos quant au fait que cette dernière présenterait lesdites jeunes filles à des hommes dans un but pécuniaire, dès lors qu'il ne s'agissait que d'ouï-dire. Elle a toutefois tenu cette information pour établie lorsque la recourante avait proposé à sa fille de se prostituer. Enfin, la mise en cause affirme avoir vu la recourante recevoir d'importantes sommes d'argent de la part d'hommes. Ainsi, rien ne permet de retenir que la mise en cause n'aurait pas tenu pour vraies ses allégations. Elle pourrait au demeurant aisément rapporter la preuve de la vérité. Au surplus, l'on ne distingue pas, chez la mise en cause, de volonté de porter atteinte à la considération de la recourante, mais plutôt de soutenir un ami dans le cadre de la procédure civile qui l'opposait à cette dernière, l'attestation litigieuse ayant été établie à cette fin et produite uniquement dans ce cadre. Bien que les parties aient eu des désaccords par le passé, l'affirmation selon laquelle la mise en cause aurait agi, plus de deux ans plus tard, par vengeance et dans le dessein de nuire à la recourante, ne repose que sur les convictions de cette dernière et n'est corroborée par aucun élément objectif. Une intention de nuire fait donc manifestement défaut (art. 173 al. 3 CP). En définitive, les probabilités d'un acquittement étant manifestement supérieures à celles d'une condamnation, c'est donc à bon droit que le Ministère public a décidé de ne pas entrer en matière sur l'infraction de diffamation et a fortiori de calomnie. Pour le surplus, aucun autre acte d'instruction n'apparait susceptible d'apporter d'élément complémentaire probant. La recourante n'en dit mot, d'ailleurs.</w:t>
      </w:r>
    </w:p>
    <w:p>
      <w:r>
        <w:rPr>
          <w:b/>
        </w:rPr>
        <w:t>E. 5</w:t>
      </w:r>
    </w:p>
    <w:p>
      <w:r>
        <w:t>Justifiée, l'ordonnance querellée sera donc confirmée.</w:t>
      </w:r>
    </w:p>
    <w:p>
      <w:r>
        <w:rPr>
          <w:b/>
        </w:rPr>
        <w:t>E. 6</w:t>
      </w:r>
    </w:p>
    <w:p>
      <w:r>
        <w:t>La recourante, qui succombe, supportera les frais envers l'État, fixés en totalité à CHF 1'200.-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