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P/27547/2023 vom 17. März 2025</w:t>
      </w:r>
    </w:p>
    <w:p>
      <w:r>
        <w:t>GE Cour de justice, 2025-03-17, FR</w:t>
      </w:r>
    </w:p>
    <w:p>
      <w:r>
        <w:rPr>
          <w:b/>
        </w:rPr>
        <w:t xml:space="preserve">Quelle: </w:t>
      </w:r>
      <w:r>
        <w:t>https://mcp.opencaselaw.ch/entscheid/ge_gerichte_P_27547_2023</w:t>
      </w:r>
    </w:p>
    <w:p>
      <w:r>
        <w:t>FR: GE_GERICHTE P/27547/2023 du 17 mars 2025</w:t>
      </w:r>
    </w:p>
    <w:p>
      <w:r>
        <w:t>IT: GE_GERICHTE P/27547/2023 del 17 marzo 2025</w:t>
      </w:r>
    </w:p>
    <w:p>
      <w:pPr>
        <w:pStyle w:val="Heading2"/>
      </w:pPr>
      <w:r>
        <w:t>Regeste</w:t>
      </w:r>
    </w:p>
    <w:p>
      <w:r>
        <w:t>DÉCISION PRÉJUDICIELLE;EXPERTISE PSYCHIATRIQUE;VOL(DROIT PÉNAL);FIXATION DE LA PEINE;PEINE COMPLÉMENTAIRE;FRAIS JUDICIAIRES;DÉFENSE D'OFFICE | CP.139; CPP.389.al3; CP.20; CP.19.al1; CP.47; CP.49.al2; CPP.428; CPP.135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al. 3 CPP, l'autorité de recours administre, d'office ou à la demande d'une partie, les preuves complémentaires nécessaires au traitement du recours.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2.1.2. Selon l'art. 20 CP, l'autorité d’instruction ou le juge ordonne une expertise s'il existe une raison sérieuse de douter de la responsabilité de l'auteur.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arrêts du Tribunal fédéral 6B_1167/2021 du 27 juillet 2022 consid. 3.2.1 et 6B_435/2021 du 21 juin 2021 consid. 1.3).</w:t>
      </w:r>
    </w:p>
    <w:p>
      <w:r>
        <w:rPr>
          <w:b/>
        </w:rPr>
        <w:t>E. 2.2</w:t>
      </w:r>
    </w:p>
    <w:p>
      <w:r>
        <w:t>En l'espèce, la CPAR dispose d'une expertise psychiatrique récente concernant l'appelant, dont le parcours dans la délinquance en lien avec sa toxicomanie n'a pas évolué favorablement depuis lors, alors même que cette expertise conserve toute sa pertinence aux fins d'apprécier les conditions dans lesquelles les infractions à juger ont été commises. Il s'ensuit, par appréciation anticipée, qu'il n'y a aucune nécessité d'ordonner une nouvelle expertise, comme l'a appelé de ses vœux A______ par l'intermédiaire de son conseil, étant relevé qu'il n'a fourni aucun effort pour sortir de sa dépendance, malgré les opportunités offertes et les promesses qu'il avait faites. En réalité, son casier judiciaire démontre qu'il a multiplié – avant les faits reprochés et après ceux-ci – la commission de vols aux fins d'être en mesure de se procurer des moyens financiers pour satisfaire son vice, ses agissements s'inscrivant dans la même dynamique que celle relevée par les experts, ceux-ci ayant noté que sa dépendance à la cocaïne représentait certes une contrainte à consommer le produit mais n'avait pas d'influence directe dans la perpétration d'infractions. Sa responsabilité restait donc entière à ces occasions, l'intéressé n'étant pas entravé dans sa perception du caractère illicite de ses actes, ceux-ci n'étant en principe pas commis sous l'influence de stupéfiants.</w:t>
      </w:r>
    </w:p>
    <w:p>
      <w:r>
        <w:rPr>
          <w:b/>
        </w:rPr>
        <w:t>E. 3</w:t>
      </w:r>
    </w:p>
    <w:p>
      <w:r>
        <w:t>3.1. Selon l'art. 139 ch. 1 CP, quiconque, pour se procurer ou procurer à un tiers un enrichissement illégitime, soustrait une chose mobilière appartenant à autrui dans le but de se l'approprier est passible des peines de droit.</w:t>
      </w:r>
    </w:p>
    <w:p>
      <w:r>
        <w:rPr>
          <w:b/>
        </w:rPr>
        <w:t>E. 3.2</w:t>
      </w:r>
    </w:p>
    <w:p>
      <w:r>
        <w:t>En l'espèce, le prévenu sera reconnu coupable de vol, les faits étant établis par le dossier et admis par lui. L'appel sera rejeté sur ce point, étant rappelé que A______ n'a pas retiré celui-ci, s'étant en définitive rapporté à justice.</w:t>
      </w:r>
    </w:p>
    <w:p>
      <w:r>
        <w:rPr>
          <w:b/>
        </w:rPr>
        <w:t>E. 4</w:t>
      </w:r>
    </w:p>
    <w:p>
      <w:r>
        <w:t>4.1. Selon l'art. 19 al. 1 CP, l'auteur n'est pas punissable si, au moment d'agir, il ne possédait pas la faculté d'apprécier le caractère illicite de son acte ou de se déterminer d'après cette appréciation.</w:t>
      </w:r>
    </w:p>
    <w:p>
      <w:r>
        <w:rPr>
          <w:b/>
        </w:rPr>
        <w:t>E. 4.2</w:t>
      </w:r>
    </w:p>
    <w:p>
      <w:r>
        <w:t>En l'espèce, il n'y aucun motif de se départir de l'expertise du 15 février 2023, dont les conclusions sont claires et conservent leur validité, comme rappelé ci-avant. Au demeurant, ni la perpétration des vols vidéofilmés ni les conditions de l'interpellation et de l'audition du 15 juin 2024 de l'appelant – lors de laquelle il a été cohérent – attesteraient de ce qu'il aurait été, au moment où il a agi, dans un état tel qu'il y aurait eu des raisons sérieuses de douter de sa capacité volitive et de considérer qu'il n'était plus à même d'apprécier le caractère illicite de ses actes ou de se déterminer d'après celle-ci. Bien au contraire, ses actes traduisent la recherche effrénée de butins qu'il pourrait revendre pour, ensuite, être en mesure d'assouvir son addiction, sa dépendance à la cocaïne n'étant pas niée. Cette dernière sera prise en compte dans le cadre de la fixation de la peine.</w:t>
      </w:r>
    </w:p>
    <w:p>
      <w:r>
        <w:rPr>
          <w:b/>
        </w:rPr>
        <w:t>E. 5</w:t>
      </w:r>
    </w:p>
    <w:p>
      <w:r>
        <w:t>5.1. Le vol est réprimé par une peine privative de liberté de cinq ans au plus ou 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 ème éd., Bâle 2013,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 ème éd., Bâle 2021, n. 54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 cadre de l'art. 47 CP, le juge peut prendre en compte à titre d'antécédents des actes punissables qui n'ont pas (encore) été punis, pour autant que les faits soient établis (cf. arrêts du Tribunal fédéral 6B_1457/2020 du 15 avril 2021 consid. 1.4).</w:t>
      </w:r>
    </w:p>
    <w:p>
      <w:r>
        <w:rPr>
          <w:b/>
        </w:rPr>
        <w:t>E. 5.4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troisième phrase CP). 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Le concours rétrospectif (art. 49 al. 2 CP), in LawInside, 31 août 2016).</w:t>
      </w:r>
    </w:p>
    <w:p>
      <w:r>
        <w:rPr>
          <w:b/>
        </w:rPr>
        <w:t>E. 5.6</w:t>
      </w:r>
    </w:p>
    <w:p>
      <w:r>
        <w:t>En l'espèce, la faute de l'appelant est d'une certaine gravité. Il persiste à s'inscrire dans la déviance, en perpétrant de manière quasi continue des infractions contre le patrimoine, alors même que, reconnaissant ses soucis de dépendance, il n'a pas saisi les chances qui lui avaient été offertes – mesure de l'art. 60 CP et suivi de probation – et est retombé dans ses travers, s'y enfonçant. Il a, de plus, trahi la confiance qui lui avait été accordée, la précédente peine ayant été suspendue pour qu'il puisse se soigner, alors qu'il était aidé sur le plan financier. Certes, comme les experts l'ont dit, sa dépendance à la cocaïne n'est pas contrôlable, mais l'appelant avait le choix, suite au sevrage forcé auquel il avait été astreint dans le cadre de l'exécution de précédentes peines (cf. jugement du TAPEM du 10 novembre 2023, let. B. et C.), de chercher à ne pas replonger dans son vice, ce qu'il n'a pas fait, seule son arrestation ayant mis fin à ses actes. Ses mobiles ont consisté essentiellement dans l'obtention de gains pour financer sa consommation de drogue, l'entier de ses ressources y passant. Sa collaboration a été bonne. L'appelant a d'emblée reconnu les faits qui lui sont reprochés. Sa situation personnelle est difficile, marquée par les souffrances subies dans le cadre de la traite d'êtres humains dont il a été victime. À cet égard, il doit néanmoins être souligné que ce qu'il a vécu a été reconnu par la justice, qu'il a obtenu un dédommagement en réparation du tort moral éprouvé, qu'il a pu bénéficier d'un titre de séjour et d'une aide financière, soit autant de chances qui auraient dû lui permettre d'appréhender différemment son avenir, et non de le voir inscrit dans la délinquance d'habitude. Il y a concours d'infractions, ce qui commande d'augmenter la peine en conséquence (art. 49 al. 1 CP). Les antécédents de l'appelant sont nombreux et spécifiques. Comme le premier juge le rappelait, il a récidivé en commettant non seulement un mais trois vols et ce, alors qu'il avait déjà commencé à suivre son traitement ambulatoire au CAAP. Au vu de ce qui précède, seul le prononcé d'une peine privative de liberté ferme s'impose pour punir les vols considérés. En outre, la question de la révocation de la libération conditionnelle accordée le 9 juin 2023 et la réintégration de l'appelant dans le solde de peine à purger se pose compte tenu de la présente récidive dans le délai d'épreuve. Toutefois, en raison de l'interdiction de la reformatio in pejus, celle-ci ne sera pas traitée (art. 391 al. 2 CPP). L'ensemble des infractions à juger a été commis avant l'ordonnance pénale rendue le 16 septembre 2024 par le MP à une peine privative de liberté de six mois pour cinq vols. Il convient de fixer une peine complémentaire à la condamnation prononcée immédiatement après les faits en cause (cf. arrêts du Tribunal fédéral 6B_1292/2023 du 20 novembre 2024 consid. 13.5.2 ; 6B_144/2019 du 17 mai 2019 consid. 4.3.3). Les nouveaux actes à juger n'étant pas abstraitement plus graves que ceux déjà jugés le 16 septembre 2024, il faut tenir compte du principe d'aggravation pour déterminer la peine complémentaire, dont à déduire la peine de base (cf. peine privative de liberté de six mois). Si le juge avait dû connaître simultanément des infractions établies dans la présente procédure, il aurait ainsi aggravé la peine de base de 20 jours pour le vol au préjudice de E______ &amp; CIE SA le 5 décembre 2023 (peine hypothétique de 30 jours), de 20 jours pour le vol au préjudice de la même lésée le 5 juin 2024 (peine hypothétique de 30 jours), de 20 jours pour celui au préjudice de PHARMACIE D______ SA (peine hypothétique de 30 jours), enfin de 20 jours pour celui au détriment de PHARMACIE C______ SA (peine hypothétique de 30 jours), soit 80 jours au total. L'appel sera ainsi admis sur ce point et la peine privative de liberté arrêtée à 80 jours, sous déduction de la détention subie avant jugement, dite peine étant complémentaire à celle ayant été prononcée le 16 septembre 2024.</w:t>
      </w:r>
    </w:p>
    <w:p>
      <w:r>
        <w:rPr>
          <w:b/>
        </w:rPr>
        <w:t>E. 6.1</w:t>
      </w:r>
    </w:p>
    <w:p>
      <w:r>
        <w:t>L'appelant, qui succombe partiellement, supportera la moitié des frais de la procédure d'appel, lesquels comprennent un émolument d'arrêt de CHF 1'200.-, le solde étant laissé à la charge de l'État (art. 428 al. 1 CPP).</w:t>
      </w:r>
    </w:p>
    <w:p>
      <w:r>
        <w:rPr>
          <w:b/>
        </w:rPr>
        <w:t>E. 6.2</w:t>
      </w:r>
    </w:p>
    <w:p>
      <w:r>
        <w:t>Vu l'issue de l'appel, il n'y a pas lieu de revoir la répartition des frais de la procédure préliminaire et de première instance (art. 426 al. 1 CPP et art. 428 al. 3 CPP).</w:t>
      </w:r>
    </w:p>
    <w:p>
      <w:r>
        <w:rPr>
          <w:b/>
        </w:rPr>
        <w:t>E. 7</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7.4</w:t>
      </w:r>
    </w:p>
    <w:p>
      <w:r>
        <w:t>En l'occurrence, il n'y a pas lieu d'indemniser le temps consacré à l'annonce d'appel ainsi qu'à la déclaration d'appel – qui n'a pas à être motivée –, celui-ci étant compris dans le forfait pour activités diverses. Il en va de même pour l' " étude [de] jugements antérieurs " et pour l' " étude [de l'] expertise psy ". Enfin, la durée facturée pour la préparation de l'audience excède ce qui est admissible au vu de l'enjeu limité de l'appel, alors que la procédure ne présente aucune difficulté factuelle et/ou procédurale. La durée des débats d'appel sera ajoutée en sus. En conclusion, la rémunération de la défenseure d'office sera arrêtée à CHF 832.35 correspondant à cinq heures d'activité d'avocat-stagiaire au tarif de CHF 110.-/heure, plus la majoration forfaitaire de 20%, deux vacations à CHF 55.- et l'équivalent de la TVA au taux de 8.1% en CHF 62.35.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