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P/27520/2024 vom 8. Januar 2025</w:t>
      </w:r>
    </w:p>
    <w:p>
      <w:r>
        <w:t>GE Cour de justice, 2025-01-08, FR</w:t>
      </w:r>
    </w:p>
    <w:p>
      <w:r>
        <w:rPr>
          <w:b/>
        </w:rPr>
        <w:t xml:space="preserve">Quelle: </w:t>
      </w:r>
      <w:r>
        <w:t>https://mcp.opencaselaw.ch/entscheid/ge_gerichte_P_27520_2024</w:t>
      </w:r>
    </w:p>
    <w:p>
      <w:r>
        <w:t>FR: GE_GERICHTE P/27520/2024 du 8 janvier 2025</w:t>
      </w:r>
    </w:p>
    <w:p>
      <w:r>
        <w:t>IT: GE_GERICHTE P/27520/2024 del 8 gennaio 2025</w:t>
      </w:r>
    </w:p>
    <w:p>
      <w:pPr>
        <w:pStyle w:val="Heading2"/>
      </w:pPr>
      <w:r>
        <w:t>Regeste</w:t>
      </w:r>
    </w:p>
    <w:p>
      <w:r>
        <w:t>CPP.411; CPP.410; CPP.80.al2</w:t>
      </w:r>
    </w:p>
    <w:p>
      <w:pPr>
        <w:pStyle w:val="Heading2"/>
      </w:pPr>
      <w:r>
        <w:t>Erwägungen</w:t>
      </w:r>
    </w:p>
    <w:p>
      <w:r>
        <w:rPr>
          <w:b/>
        </w:rPr>
        <w:t>E. 1.1</w:t>
      </w:r>
    </w:p>
    <w:p>
      <w:r>
        <w:t>La Chambre pénale d’appel et de révision est l'autorité compétente en matière de révision (art. 21 al. 1 let. b CPP cum art. 130 al. 1 let. a de la Loi d'organisation judiciaire (LOJ).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Vu la libération de la demanderesse intervenue le 13 décembre 2024, il n'y a pas lieu de se prononcer sur les demandes d'effet suspensif et de mise en liberté, étant devenues sans objet. 2.1. Celui qui est lésé par un jugement entré en force, une ordonnance pénale, une décision judiciaire ultérieure ou une décision rendue dans le cadre d'une procédure indépendante d'exécution de mesures peut demander la révision, s'il existe des faits nouveaux survenus avant la décision ou des moyens de preuve nouveaux qui sont de nature à entraîner un acquittement, une peine nettement moins sévère ou nettement plus sévère pour la personne condamnée ou une condamnation de la personne acquittée (art. 410 al. 1 let. a CPP).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Il existe un numerus clausus des motifs de révision et l'on ne saurait en déduire d'autres de la Constitution ou de la CEDH. Hormis le cas spécifique de l'internement a posteriori (CP 65 II), les motifs de révision sont régis exhaustivement par le CPP (JEANNERET / KUHN / PERRIER DEPEURSINGE (éds), Commentaire romand, Code de procédure pénale suisse, 2 ème édition, Bâle 2019, n. 19 ad art. 410). La violation des règles de procédure ne constitue pas un motif de révision, laquelle doit être invoquée dans le cadre des voies de droit ordinaires (JEANNERET / KUHN / PERRIER DEPEURSINGE (éds), Commentaire romand, Code de procédure pénale suisse, op. cit., n. 22 ad art. 410). 2.2.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sert ainsi la sécurité du droit. En ce qui concerne les ordonnances pénales, le Tribunal fédéral exige la signature de la personne compétente. L'art. 353 al. 1 let. k CPP exige que l'ordonnance pénale indique qui l'a rendue. La simple signature de l'ordonnance pénale ne peut pas être déléguée ; l'auteur et le signataire doivent être identiques (ATF 148 IV 445 consid. 1.3.2 et 1.3.3). 2.3.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Une ordonnance pénale qui, au lieu d'être signée de la main de la personne qui l'a délivrée, est munie par le personnel du greffe d'un cachet en fac-similé, n'est pas nulle. La nullité d'une décision doit être observée d'office en tout temps et par toutes les autorités d'application du droit. Toutefois, dans le domaine du droit pénal, la sécurité du droit revêt une importance particulière, ce qui ne permet pas d'admettre sans autre la nullité des jugements entrés en force. Le vice d'un cachet en fac-similé sur une ordonnance pénale ne s'avère pas si grave qu'il se justifierait, compte tenu de l'importance particulière de la sécurité du droit en droit pénal de considérer l'ordonnance pénale comme nulle au sens de la théorie de l'évidence (ATF 148 IV 445 consid. 1.4.2). 2.4.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 2.5. La jurisprudence ne retenant pas la nullité d'office d'une ordonnance pénale non signée par la personne compétente, il y a lieu d'examiner la recevabilité de la demande en révision. En l'espèce, les conditions restrictives de l'art. 410 al. 1 let. a CPP n'étant manifestement pas réalisées, celle-ci apparaît d'emblée mal fondée pour les motifs qui vont suivre. 2.6. Avant cela, il sied de relever que la demanderesse a sollicité l'effet suspensif à l'exécution de sa peine et sa mise en liberté immédiate, ce qui a suscité une demande de détermination auprès du MP, ne préjugeant en rien de l'entrée en matière ou non de la juridiction d'appel. 2.7. A______ allègue qu'elle n'avait pu découvrir l'absence de signature manuscrite sur les ordonnances pénales qu'après consultation de son Conseil à la prison de B______ le 25 novembre 2024, soit après l'expiration du délai d'opposition et que, de bonne foi, elle était partie du principe que les décisions avaient été rendues en conformité au droit, n'étant pas consciente du vice caché. Force est de constater que la demanderesse conteste la légalité des ordonnances pénales du SDC et plaide leur nullité, justifiant ainsi sa demande de mise en liberté immédiate et sa demande d'indemnité pour détention illicite. Or, au-delà du fait que les ordonnances pénales querellées ne sont pas ipso facto nulles et non avenues, conformément à ce qui a été retenu par le Tribunal fédéral (ATF 148 IV 445, cf. supra 1.1.6), eu égard au principe fondamental de la sécurité du droit, son grief, en tant que tel, n'entre pas dans le champ des motifs exhaustifs mentionnés à l'art. 410 al. 1 let. a CPP qui ouvrirait la voie de la révision. En effet, le vice invoqué ne constitue ni un fait nouveau, ni même un nouveau moyen de preuve qui était inconnu et qui permettrait d'accéder à la révision. Il s'agit d'un vice procédural qui ne peut être remédié par la voie de la révision, qui est une voie de droit extraordinaire ayant pour but d'éviter qu'une erreur judiciaire résultant d'une erreur de fait persiste indûment. Cette voie – qui reste exceptionnelle – permet la recherche de la vérité matérielle et non la remise en question d'une décision entrée en force de chose jugée contenant une erreur de droit. Elle ne permet pas non plus de procéder à la rectification d'une approche juridique qui serait devenue erronée en vue de s'adapter à un revirement jurisprudentiel. 2.8. Enfin, la demande en révision tendant strictement à l'annulation des ordonnances pénales du SDC rendues à l'encontre de A______ pour un montant cumulé de CHF 5'660.-, il n'y a pas lieu d'examiner la violation alléguée des articles 3, 5, 8 et 14 de la CEDH, dès lors qu'il n'existe aucun motif de révision permettant de contester l'entrée en force des ordonnances querellées. Ces griefs auraient dû être invoqués dans le cadre d'une procédure sur opposition. En outre et dans la mesure où les ordonnances pénales de conversion du SDC du 13 octobre 2023 et l'ordre d'exécution émis par le SAPEM le 29 octobre 2024 ne font pas l'objet de la demande en révision et ne sont d'ailleurs pas sujets à révision, il n'y a pas lieu d'examiner les griefs soulevés en lien avec la prétendue violation des dispositions de la CEDH. 2.9. Au vu de ce qui précède, il ne sera pas entré en matière sur la demande de révision, laquelle doit être déclarée irrecevable.</w:t>
      </w:r>
    </w:p>
    <w:p>
      <w:r>
        <w:rPr>
          <w:b/>
        </w:rPr>
        <w:t>E. 3</w:t>
      </w:r>
    </w:p>
    <w:p>
      <w:r>
        <w:t>3.1. Selon l'art. 428 al. 1, première phrase, CPP, les frais de la procédure de recours sont mis à la charge des parties dans la mesure où elles ont obtenu gain de cause ou succombé.</w:t>
      </w:r>
    </w:p>
    <w:p>
      <w:r>
        <w:rPr>
          <w:b/>
        </w:rPr>
        <w:t>E. 3.2</w:t>
      </w:r>
    </w:p>
    <w:p>
      <w:r>
        <w:t>L'art. 425 CPP prévoit que l'autorité pénale peut accorder un sursis pour le paiement des frais de la procédure. Elle peut réduire ou remettre les frais compte tenu de la situation de la personne astreinte à les payer.</w:t>
      </w:r>
    </w:p>
    <w:p>
      <w:r>
        <w:rPr>
          <w:b/>
        </w:rPr>
        <w:t>E. 3.3</w:t>
      </w:r>
    </w:p>
    <w:p>
      <w:r>
        <w:t>En l'espèce, vu l'issue de la demande en révision, A______ aura à supporter l'intégralité des frais. Toutefois, vu la situation personnelle de la demanderesse, les frais de la procédure de révision seront réduits, l'émolument d'arrêt étant arrêté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