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P/273/2015 vom 17. Januar 2022</w:t>
      </w:r>
    </w:p>
    <w:p>
      <w:r>
        <w:t>GE Cour de justice, 2022-01-17, FR</w:t>
      </w:r>
    </w:p>
    <w:p>
      <w:r>
        <w:rPr>
          <w:b/>
        </w:rPr>
        <w:t xml:space="preserve">Quelle: </w:t>
      </w:r>
      <w:r>
        <w:t>https://mcp.opencaselaw.ch/entscheid/ge_gerichte_P_273_2015</w:t>
      </w:r>
    </w:p>
    <w:p>
      <w:r>
        <w:t>FR: GE_GERICHTE P/273/2015 du 17 janvier 2022</w:t>
      </w:r>
    </w:p>
    <w:p>
      <w:r>
        <w:t>IT: GE_GERICHTE P/273/2015 del 17 gennaio 2022</w:t>
      </w:r>
    </w:p>
    <w:p>
      <w:pPr>
        <w:pStyle w:val="Heading2"/>
      </w:pPr>
      <w:r>
        <w:t>Regeste</w:t>
      </w:r>
    </w:p>
    <w:p>
      <w:r>
        <w:t>CP.181 LArm</w:t>
      </w:r>
    </w:p>
    <w:p>
      <w:pPr>
        <w:pStyle w:val="Heading2"/>
      </w:pPr>
      <w:r>
        <w:t>Erwägungen</w:t>
      </w:r>
    </w:p>
    <w:p>
      <w:r>
        <w:rPr>
          <w:b/>
        </w:rPr>
        <w:t>E. 1</w:t>
      </w:r>
    </w:p>
    <w:p>
      <w:r>
        <w:t>L'appel est recevable pour avoir été interjeté et motivé selon la forme et dans les délais prescrits (art. 398 et 399 du Code de procédure pénale [CPP]). La Chambre pénale d'appel et de révision (CPAR)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européenne des droits de l'homme (CEDH) et, sur le plan interne, par les art. 32 al. 1 de la Constitution suisse (Cst.) et 10 al. 3 CPP, concerne tant le fardeau de la preuve que l'appréciation des preuves au sens large (ATF 127 I 28 consid. 2a ; arrêt du Tribunal fédéral 6B_804/2017 du 23 mai 2018 consid. 2.2.3.1).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 ATF 127 I 38 consid. 2a; ATF 124 IV 86 consid. 2a p. 87 s.). 2.1.2.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Les cas de "déclarations contre déclarations", dans lesquelles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p. 127 = JdT 2012 IV p. 79 ; arrêt du Tribunal fédéral 6B_1306/2017 du 17 mai 2018 consid. 2.1.1 ; M. NIGGLI / M. HEER / H. WIPRÄCHTIGER [éds], Strafprozessordnung / Jugendstrafprozessordnung , Basler Kommentar StPO/JStPO, 2 ème éd., Bâle 2014, n. 83 ad art. 10).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 6B_626/2008 du 11 novembre 2008 consid. 2.1 et les référence).</w:t>
      </w:r>
    </w:p>
    <w:p>
      <w:r>
        <w:rPr>
          <w:b/>
        </w:rPr>
        <w:t>E. 2.2</w:t>
      </w:r>
    </w:p>
    <w:p>
      <w:r>
        <w:t>En l'espèce, le prévenu B______ a fait certaines déclarations contradictoires, tout comme G______, relativement à A______. À l'inverse, au-delà de son mensonge initial ayant conduit à sa condamnation pour avoir induit la justice en erreur, D______ a fait des déclarations plutôt constantes, même si, devant le TP, il a contesté avoir commis une infraction envers K______ après l'avoir admis devant le MP. En référence à A______, il a invariablement servi la même version d'une remise de la reconnaissance de dette à B______ par erreur. F______ a peu été entendu et est resté constant. Plusieurs éléments objectifs qui figurent au dossier permettent cependant à la CPAR de corroborer certaines des déclarations des prévenus au détriment d'autres qui seront écartées et la conduisent ainsi à retenir les faits suivants : Entre Noël 2014 et le Nouvel-An 2015, B______ et G______ se sont rendus à la boucherie de D______. Là, tous trois se sont entretenus de la situation de différents débiteurs parmi lesquels K______, A______ et O______, et non du seul premier précité. En effet, dans ses déclarations, B______ a fait état de ce qu'il avait également été question d'un débiteur possédant un commerce de peinture, situation correspondant à celle de O______ (lequel a retiré sa plainte) et que B______ ne peut, dès lors, avoir inventée. Par ailleurs devant le TP, B______ a confirmé que la discussion relative à A______ s'était tenue avec D______, ce qu'en définitive, G______ a confirmé devant la CPAR. Il n'y a donc pas lieu de retenir que c'est du seul K______ dont il a été question dans la boucherie de D______. Cette appréciation est d'autant plus soutenue par le fait que ce sont justement les photographies du permis C de A______ et la reconnaissance de dette qu'il avait signée qui ont été retrouvées par la suite dans le téléphone portable de G______, outre les copies de ces documents dans le véhicule de B______. Au vu de ce qui précède, et contrairement aux explications de D______, ce n'est donc pas suite à une erreur de sa part, que la reconnaissance de dette a été remise à B______. Jusque devant le TP, ce dernier a d'ailleurs toujours admis que G______ lui avait demandé d'intervenir envers A______, tout en expliquant s'être désisté. Il n'y a donc pas lieu de douter qu'une intervention était prévue en vue d'exercer une pression envers A______. Devant la CPAR, G______ a d'ailleurs relevé que c'était D______ qui lui avait transmis la photographie de A______, soit sous forme papier, soit sous forme numérique. Les conversations téléphoniques entre G______ et B______, enregistrées le 14 janvier 2015, démontrent que, contrairement aux affirmations de B______, le projet d'intervenir envers A______ n'était toujours pas abandonné à cette date. En effet, alors que ces conversations démontrent que B______ était informé de l'arrestation de D______ par suite du dépôt d'une plainte par K______, il y est fait mention d'intervenir " pour les deux cents mille " ou les " premiers deux cents mille ". Or, d'une part la reconnaissance de dette de A______ portait justement sur ce montant là et, d'autre part, l'intervention auprès de K______ avait déjà eu cours le 3 janvier 2015 et fait l'objet d'une intervention de la police, de sorte qu'elle ne pouvait concerner ce dernier. Tant B______ devant le MP, avant que sa mémoire ne lui fasse défaut, que G______ devant la CPAR ont fait état de ce que, dans la conversation, il était fait allusion à une autre personne que K______ en lien avec la reconnaissance de dette de CHF 200'000.-. Le contenu de ces conversations démontre en tout cas que B______, au 14 janvier 2015, était toujours disposé à agir selon ce que lui demandait G______ contre une personne ou une autre et cela ne témoigne d'aucun désistement de sa part, contrairement à ses allégués en procédure. S'agissant du téléphone menaçant du 13 janvier 2015 reçu par A______, il est intervenu le jour même du retour de Dubaï de G______ et D______, ce qui n'apparaît pas être une coïncidence. D______ a confirmé à la police leur arrivée commune de Dubaï à Genève en début d'après-midi, ce jour-là. Selon B______, G______ lui a alors demandé s'il avait pu aller voir A______, alors qu'ils se sont vus entre 16h00 et 17h00, soit justement dans l'intervalle de temps où le téléphone litigieux est intervenu. À cela s'ajoute qu'un lien formel a été établi entre B______ et H______, laquelle a relevé prêter à des tiers son téléphone portable à partir duquel l'appel à A______ a été fait. Certes, H______ a relativisé les contacts entretenus avec B______ mais ses déclarations ont été fluctuantes dans la mesure où, après avoir fait état à la police en tout et pour tout, outre la rencontre initiale, de deux appels téléphoniques entre eux intervenus à un jour d'intervalle, elle a admis qu'ils s'étaient entretenus à plusieurs reprises, essentiellement à son initiative, pour savoir comment il allait mais il était également arrivé que ce soit lui qui l'appelle. On en déduit donc que leurs contacts ont pu être plus intenses. Quoiqu'il en soit, il n'est pas non plus exclu qu'H______ ne se rappelle pas des circonstances dans lesquelles elle a pu prêter son téléphone. Au vu de ce fort faisceau d'indices, la CPAR retient ainsi que l'appel menaçant fait à A______ est bien intervenu à la suite de la remise volontaire par D______ de la reconnaissance de dette de CHF 200'000.- signée par A______ à G______ et B______, charge notamment à ce dernier d'effrayer A______ s'il ne payait pas sa dette, ce qui s'est fait à travers le téléphone intervenu le 13 janvier 2015 à 16h43. Cela étant, ce n'est pas la reconnaissance tardive de la voix de B______ par A______ qui conduit la Cour de céans à apprécier les faits tels que précités. En revanche, la CPAR considère que les éléments figurant au dossier ne sont pas suffisants pour incriminer F______, les seuls indices en ce sens consistant en la possession du numéro de téléphone professionnel de A______ et le fait que la reconnaissance de dette litigieuse, avec une procédure judiciaire civile en cours, a été établie à son nom puis s'est retrouvée dans les mains de D______. Certes, ce dernier fait interpelle et il apparaîtrait logique que F______ soit impliqué, d'autant que ses contacts avec D______ étaient fréquents à cette époque. Cependant, dans la mesure où, selon l'appel menaçant tel que rapporté par A______, c'était bien quelqu'un d'autre qui était chargé de récupérer le montant de la créance, la situation est incertaine, d'autant qu'il ne peut être exclu que le bénéficiaire de la reconnaissance de dette en ait informé D______ sans intention délictueuse, ce dernier étant toutefois également concerné par la gestion de salons de massages dans le même immeuble. Quant à la possession du numéro de téléphone professionnel de A______, le dossier ne permet pas d'exclure qu'un tiers n'aurait été également en mesure de se le procurer. En résumé, si le faisceau d'indices au dossier est suffisant pour retenir l'implication de D______ et B______ dans l'intervention faite auprès de A______, il ne l'est en revanche pas concernant F______, de sorte qu'un léger doute subsiste et lui bénéficie.</w:t>
      </w:r>
    </w:p>
    <w:p>
      <w:r>
        <w:rPr>
          <w:b/>
        </w:rPr>
        <w:t>E. 3</w:t>
      </w:r>
    </w:p>
    <w:p>
      <w:r>
        <w:t>3.1.1. Se rend coupable de contrainte selon l'art. 181 CP celui qui, en usant de violence envers une personne ou en la menaçant d'un dommage sérieux, ou en l'entravant de quelque autre manière dans sa liberté d'action, l'aura obligée à faire, ne pas faire ou à laisser faire un acte. Le bien juridiquement protégé par l'art. 181 CP est la liberté d'action, plus particulièrement la libre formation et le libre exercice de la volonté. Alors que la violence consiste dans l'emploi d'une force physique d'une certaine intensité à l'encontre de la victime,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(arrêt du Tribunal fédéral 6B_153/2017 du 28 novembre 2017 consid. 3.1 et les références citées). 3.1.2. La tentative suppose que l'auteur réalise tous les éléments subjectifs de l'infraction et qu'il manifeste sa décision de la commettre, mais sans en réaliser tous les éléments objectifs (ATF 137 IV 113 consid. 1. 4. 2 ; ATF 120 IV 199 consid. 3e).</w:t>
      </w:r>
    </w:p>
    <w:p>
      <w:r>
        <w:rPr>
          <w:b/>
        </w:rPr>
        <w:t>E. 3.2</w:t>
      </w:r>
    </w:p>
    <w:p>
      <w:r>
        <w:t>En l'espèce, il est établi, à teneur du dossier, que A______ a été atteint le 13 janvier 2015 par un appel téléphonique au cours duquel une personne l'a menacé de mort précisant être chargée dans les meilleurs délais de récupérer l'argent dû par lui à F______. Il s'est ainsi incontestablement agi d'influer sur la volonté de A______ pour l'inciter à régler tout ou partie de l'argent réclamé par F______ au moyen d'une pression psychologique correspondant à un dommage futur pour le moins sérieux. La menace a bien porté effet, A______ ayant porté plainte le jour-même. Selon les faits retenus par la Cour de céans, les éléments matériels objectifs au dossier et les déclarations des prévenus corroborent l'existence de l'appel litigieux et sa teneur dont il n'y pas lieu de douter. D______ et B______ sont bien à l'origine de celui-ci, en ont discuté et l'ont décidé d'un commun accord. Les prévenus D______ et B______ ont agi en qualité de coauteurs, le premier ayant collaboré à la décision commune de commettre l'infraction et le second s'en étant chargé, si bien que leurs rôles respectifs apparaissent indispensables, peu importe à cet égard le rôle que G______ a pu jouer. A______ n'ayant pas adopté le comportement recherché par les prévenus, c'est sous la forme d'une tentative que l'infraction a été commise. Au vu de ce qui précède, l'appel sera partiellement admis et D______ ainsi que B______ seront reconnus coupable de tentative de contrainte, le jugement étant confirmé en ce qui concerne F______. 4.1.1. Une peine privative de liberté de trois ans au plus ou une peine pécuniaire sanctionne celui qui s'est rendu coupable d'infraction à l'art. 181 CP. 4.1.2. Selon l'art. 22 al. 1 CP, le juge peut atténuer la peine si l'exécution d'un crime ou d'un délit n'est pas poursuivie jusqu'à son terme ou que le résultat nécessaire à la consommation de l'infraction ne se produit pas ou ne pouvait pas se produire. 4.1.3. Compte tenu de l'aggravation du verdict de culpabilité en appel, la CPAR est amenée à fixer une nouvelle peine (ATF 139 IV 84 consid. 1.2 p. 87 ; arrêt du Tribunal fédéral 6B_1133/2013 du 1 er avril 2014 consid. 2.1). 4.1.4.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141 IV 61 consid. 6.1.1 p. 66 s. ; 136 IV 55 consid. 5 p. 57 ss ; 134 IV 17 consid. 2.1 p. 19 ss ; 129 IV 6 consid. 6.1 p. 20). 4.1.5.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4.1.6. 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(ATF 140 IV 145 consid. 3.1 p. 148 ; arrêt du Tribunal fédéral 6B_773/2016 du 22 mai 2017 consid. 4.4). Le juge doit se référer à la date à laquelle les faits ont été souverainement établis, et non au jugement de premier instance. Ainsi, lorsque le condamné a fait appel, il faut prendre en considération le moment où le jugement de seconde instance a été rendu dès lors que ce recours a un effet dévolutif (ATF 140 IV 145 consid. 3.1 p. 148 ; ATF 132 IV 1 consid. 6.2.1 p. 4 ; arrêt du Tribunal fédéral 6B_664/2015 du 18 septembre 2015 consid. 1.1). 4.1.7. La réforme du droit des sanctions, entrée en vigueur le 1 er janvier 2018 marque, globalement, un durcissement du droit des sanctions (Message relatif à la modification du Code pénal et du Code pénal militaire du 4 avril 2012, FF 2012 4385 ss ; M. DUPUIS / L. MOREILLON / C. PIGUET / S. BERGER / M. MAZOU / V. RODIGARI [éds], Code pénal - Petit commentaire , 2 ème éd., Bâle 2017, Rem. prél. ad art. 34 à 41, n. 2 ss). Notamment, la peine pécuniaire est désormais de trois jours au moins et jusqu'à 180 jours (art. 34 al. 1 CP) contre une année précédemment. La CPAR n’ignore pas les décisions du Tribunal fédéral par lesquelles la Haute Cour a ramené à 180 unités des peines pécuniaires plus importantes prononcées après le 1 er janvier 2018, au motif que l'art. 34 CP ne permet désormais pas le prononcé d'une peine supérieure à cette quotité (cf. arrêts du Tribunal fédéral 6B_1280/2019 du 5 février 2020 et 6B_86/2020 du 31 mars 2020, en français). Ces décisions ne contiennent aucune discussion de l'art. 2 CP ni aucun examen comparatif de l'ancien et du nouveau droit des sanctions. Qui plus est, elles ont été prononcées sans que les parties ne soient appelées à se déterminer sur l'application du droit dans le temps, le Tribunal fédéral procédant à une correction d'office en raison « d'une violation du droit évidente » (sic). Toutefois, dans plusieurs autres décisions postérieures ( cf . arrêts du Tribunal fédéral 6B_1249/2019 du 6 mai 2020 et 6B_478/2020 du 12 juin 2020, 6B_667/2020 du 3 février 2021, en allemand), la Haute Cour a confirmé, sans hésitation, des peines de 320, 200 ou encore 220 jours-amende, prononcées pour des faits commis avant le 1 er janvier 2018. Dans un arrêt du 16 juin 2020 ( cf . 6B_1039/2019 , en allemand), le Tribunal fédéral confirme également, sans nullement mentionner le droit transitoire ou l'art. 2 CP, une peine de travail d'intérêt général prononcée en 2019 pour des faits commis avant l'abrogation de l'art. 37 aCP. Dans ces circonstances, la jurisprudence de la CPAR retient que le principe de la lex mitior autorise le prononcé d’une peine pécuniaire allant jusqu’à une année plutôt que d’une peine privative de liberté pour des faits commis avant l’entrée en vigueur du nouveau droit des sanctions ( AARP/326/2020 consid. 3.2 du 24 septembre 2020). 4.2.1. En l'espèce, la faute du prévenu B______ est d'une importance substantielle. Il a tenté de porter atteinte à la liberté d'autrui à deux reprises et a agi au mépris de la législation sur les armes. Par commodité et recherche d'un intérêt personnel, il a prêté son concours et s'est associé aux projets délictueux de D______. Sa situation personnelle ne permet pas de comprendre son comportement, encore moins de le justifier. Sa collaboration a été plutôt médiocre. S'il a admis certains faits, c'est en grande partie dû à l'avancement de l'instruction et aux preuves matérielles auxquelles il a été confronté. Lors des audiences de jugement, il est revenu sur certaines déclarations ou s'est réfugié derrière un défaut de mémoire. Il a contesté l'ensemble des infractions dont il a été reconnu coupable. Sous cet angle, l'intimé ne semble pas avoir pleinement pris conscience du caractère illicite de ses actes. En raison du concours d'infractions, la peine devra être aggravée. Le sursis prononcé en première instance lui est acquis. Au vu de ce qui précède, le prévenu sera condamné à une peine pécuniaire. Les infractions les plus graves sont les tentatives de contrainte, lesquelles, d'une gravité égale, devraient être sanctionnées d'une peine pécuniaire de 220 jours-amende, augmentée de 40 jours-amende pour tenir compte de l'infraction à la loi fédérale sur les armes (peine hypothétique de 60 jours). Compte tenu de l'écoulement du temps, sans que le comportement de l'intimé ne soit sujet à caution, la peine pécuniaire sera cependant réduite. Par conséquent, le prévenu sera condamné à une peine pécuniaire de 200 jours-amende avec sursis, assorti d'un délai d'épreuve de trois ans. Compte tenu de sa situation financière, le jour-amende sera fixé à CHF  30.-. 4.2.2. La faute de l'intimé D______ est plus importante que celle de son comparse. S'il a également tenté de porter atteinte à deux reprises à la liberté d'autrui, il n'a pas hésité à tromper les autorités pour les manipuler dans son intérêt personnel, tout démontrant le peu de respect porté à la législation sur les armes. Il a cherché à faire prévaloir sa justice propre, par le recours à l'intimidation. Sa collaboration a été mauvaise au final. Après avoir admis certains faits, l'intimé est revenu sur ses déclarations à l'audience de jugement et a tout au long de la procédure donné une version mensongère quant aux faits relatifs à l'appelant. Sa prise de conscience à cet égard est nulle. Sa situation personnelle n'explique ni ne justifie ses agissements. Il y a concours d'infractions, ce qui aggravera la peine à prononcer. Au vu de ce qui précède, il sera condamné à une peine pécuniaire fixée à partir des infractions les plus graves, soit les tentatives de contrainte, lesquelles seront sanctionnées d'une peine pécuniaire de 220 jours-amende, qui sera augmentée de 60 jours-amende pour tenir compte de l'infraction d'induction de la justice en erreur (peine hypothétique de 80 jours-amende) et de 30 jours-amende pour tenir compte de l'infraction à la loi sur les armes (peine hypothétique de 40 jours-amende). Compte tenu de l'écoulement du temps, sans que le comportement de l'intimé n'apparaisse litigieux, la peine pécuniaire sera cependant ramenée à une quotité inférieure. Par conséquent, le prévenu sera condamné à une peine pécuniaire de 250 jours-amende avec sursis, assorti d'un délai d'épreuve de trois ans. Compte tenu de sa situation financière, le jour-amende sera fixé à CHF  30.-.</w:t>
      </w:r>
    </w:p>
    <w:p>
      <w:r>
        <w:rPr>
          <w:b/>
        </w:rPr>
        <w:t>E. 5</w:t>
      </w:r>
    </w:p>
    <w:p>
      <w:r>
        <w:t>5.1. Selon l'art. 426 al. 1 CPP, le prévenu supporte les frais de procédure s'il est condamné. Font exception les frais afférents à la défense d'office ; l'art. 135 al. 4 CPP est réservé. Selon l'art. 428 al. 1, première phrase, CPP, les frais de la procédure de recours sont mis à la charge des parties dans la mesure où elles ont obtenu gain de cause ou succombé. L'art. 428 al. 2 CPP régit les cas dans lesquels les frais de la procédure peuvent être mis à la charge de la partie recourante qui obtient une décision qui lui est plus favorable. Selon l'al. 3, si l'autorité de recours rend elle-même une nouvelle décision, elle se prononce également sur les frais fixés par l'autorité inférieure. Pour déterminer si une partie succombe ou obtient gain de cause, il faut examiner dans quelle mesure ses conclusions sont admises en deuxième instance (arrêt du Tribunal fédéral 6B_369/2018 du 7 février 2019 consid. 4.1 non publié aux ATF 145 IV 90 ).</w:t>
      </w:r>
    </w:p>
    <w:p>
      <w:r>
        <w:rPr>
          <w:b/>
        </w:rPr>
        <w:t>E. 5.2</w:t>
      </w:r>
    </w:p>
    <w:p>
      <w:r>
        <w:t>En l'espèce, vu l'admission de l'appel de A______, il y a lieu de revoir les frais de première instance. Ceux mis à la charge de B______ s'élèveront désormais à 6/16 et ceux à charge de D______ à 8/16 des frais totaux de la procédure de première instance, étant rappelé qu'W______ a été condamné à en supporter 1/16, le solde étant laissé à la charge de l'Etat. Les frais de la procédure d'appel, qui comprennent un émolument de jugement de CHF 2'000.-, seront mis à la charge de D______ et de B______ à raison d'un tiers chacun, le solde étant laissé à la charge de l'Etat.</w:t>
      </w:r>
    </w:p>
    <w:p>
      <w:r>
        <w:rPr>
          <w:b/>
        </w:rPr>
        <w:t>E. 6</w:t>
      </w:r>
    </w:p>
    <w:p>
      <w:r>
        <w:t>6.1.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w:t>
      </w:r>
    </w:p>
    <w:p>
      <w:r>
        <w:rPr>
          <w:b/>
        </w:rPr>
        <w:t>E. 6.2</w:t>
      </w:r>
    </w:p>
    <w:p>
      <w:r>
        <w:t>En l'espèce, A______ a fait valoir une demande d'indemnisation devant le premier juge pour ses dépenses obligatoires occasionnées par la procédure correspondant au montant de ses frais de défense du 19 mars 2015 au 14 mai 2021 et qui ascende à CHF 13'244.10, TVA incluse. En appel, il produit une note pour l'activité de son conseil entre le 15 mai et le 19 octobre 2021, qui s'élève à CHF 2'762.50, TVA incluse. Au vu du verdict de culpabilité rendu à l'encontre de D______ et de B______, ces derniers seront condamnés conjointement et solidairement à payer à A______ les deux tiers de la somme de CHF 16'006.60, soit CHF 10'671.05 pour ses dépenses obligatoires occasionnées par la procédure</w:t>
      </w:r>
    </w:p>
    <w:p>
      <w:r>
        <w:rPr>
          <w:b/>
        </w:rPr>
        <w:t>E. 7</w:t>
      </w:r>
    </w:p>
    <w:p>
      <w:r>
        <w:t>7.1.1. L'art.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 l'art. 436 al. 1 CPP (arrêt du Tribunal fédéral 6B_74/2017 du 21 avril 2017 consid. 2.1). À teneur de l'art. 429 al. 1 let. a CPP, l'indemnité est limitée aux dépenses occasionnées par l'exercice raisonnable des droits de procédure du prévenu. 7.1.2. Lorsque l'appel a été formé par la seule partie plaignante, on ne saurait perdre de vue le fait qu'il n'y a plus aucune intervention de l'État tendant à poursuivre la procédure en instance de recours. La situation est dans ce cas assimilable à celle prévue par l'art. 432 CPP, applicable à la procédure d'appel par le renvoi de l'art. 436 al. 1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Dès lors, en cas de rejet de l'appel formé par la seule partie plaignante, les frais de défense du prévenu doivent être mis à la charge de celle-ci (ATF 139 IV 45 consid. 1.2 p. 47 ss, confirmé par l'ATF 141 IV 476 consid. 1.1 p.478 ss). L'indemnité de procédure due au prévenu par l'État selon l'art. 429 CPP est alors réduite à concurrence de l'indemnité mise à charge de la partie plaignante ou compensée par celle-ci (art. 430 al. 1 let. b CPP). 7.2.1. En l'espèce, F______ conclut à une indemnisation comprenant le temps de l'audience d'appel, laquelle a duré 03h45mn plus une heure, soit 04h45mn au total au tarif horaire de CHF 350.-, plus la TVA. A______ sera ainsi condamné à payer CHF 1'790.50 à F______ pour ses frais de défense. 7.2.2. Vu l'issue de l'appel, B______ sera débouté de ses prétentions en indemnisation.</w:t>
      </w:r>
    </w:p>
    <w:p>
      <w:r>
        <w:rPr>
          <w:b/>
        </w:rPr>
        <w:t>E. 8</w:t>
      </w:r>
    </w:p>
    <w:p>
      <w:r>
        <w:t>8.1.1.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un tarif horaire, débours de l'étude inclus, de CHF 110.- pour l'avocat stagiaire (let. a) et CHF 200.- pour le chef d'étude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Le mandataire d'office doit en effet gérer son mandat conformément au principe d'économie de procédure (décision de la Cour des plaintes du Tribunal pénal fédéral BB.2013.22 du 31 octobre 2013 consid. 5.2.3). 8.1.2. 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8.1.3. Le temps de déplacement de l'avocat est considéré comme nécessaire pour la défense d'office au sens de l'art. 135 CPP (décision de la Cour des plaintes du Tribunal pénal fédéral BB.2015.33 du 28 juillet 2015 consid. 4.3). La rémunération forfaitaire de la vacation aller/retour au et du Palais de justice est arrêtée CHF 55.- pour les avocats-stagiaires, dite rémunération étant allouée d'office par la juridiction d'appel pour les débats devant elle. 8.2.1. L'état de frais déposé par M e E______, défenseure d'office de D______ pour la procédure d'appel, apparaît conforme aux principes régissant l'assistance juridique, sous les réserves qu'il n'y a pas lieu d'admettre 40mn d'étude et d'analyse du dossier pour la lecture du jugement du TP (compris dans le forfait) ainsi que la recherche documentaire et juridique de 30mn sur l'appel joint qui ne se justifie pas au regard de l'assistance juridique. La durée de 01h10mn pour l'étude du mémoire d'appel, qui est en réalité une déclaration d'appel sur trois pages dans une écriture large, n'est pas adéquate et sera ramenée à 20mn. Enfin, l'étude du dossier à raison de 08h30 pour la préparation de l'audience est excessive et sera admise à raison de 05h00. Il conviendra d’ajouter 03h45mn correspondant à la durée effective de l'audience d’appel ainsi que CHF 55.- à titre de déplacement au Palais de justice. La rémunération de M e E______ sera ainsi arrêtée à CHF 1'805.65 correspondant à 20mn d'activité au tarif de CHF 200.-/heure (CHF 66.65) et 12h45mn au tarif de CHF 110.-/heure (CHF 1'402.50), le déplacement à l'audience d'appel (CHF 55.-), plus la majoration forfaitaire de 10% (dans la mesure où l'indemnisation accordée en première instance a dépassé 30h), soit CHF 152.40, et l'équivalent de la TVA au taux de 7.7% en CHF 129.10.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