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P/2734/2016 vom 26. Juni 2017</w:t>
      </w:r>
    </w:p>
    <w:p>
      <w:r>
        <w:t>GE Cour de justice, 2017-06-26, FR</w:t>
      </w:r>
    </w:p>
    <w:p>
      <w:r>
        <w:rPr>
          <w:b/>
        </w:rPr>
        <w:t xml:space="preserve">Quelle: </w:t>
      </w:r>
      <w:r>
        <w:t>https://mcp.opencaselaw.ch/entscheid/ge_gerichte_P_2734_2016</w:t>
      </w:r>
    </w:p>
    <w:p>
      <w:r>
        <w:t>FR: GE_GERICHTE P/2734/2016 du 26 juin 2017</w:t>
      </w:r>
    </w:p>
    <w:p>
      <w:r>
        <w:t>IT: GE_GERICHTE P/2734/2016 del 26 giugno 2017</w:t>
      </w:r>
    </w:p>
    <w:p>
      <w:pPr>
        <w:pStyle w:val="Heading2"/>
      </w:pPr>
      <w:r>
        <w:t>Regeste</w:t>
      </w:r>
    </w:p>
    <w:p>
      <w:r>
        <w:t>CONTRAVENTION ; POUVOIR D'EXAMEN ; CONDUITE DU PROCÈS; IN DUBIO PRO REO ; INFRACTIONS CONTRE LE DOMAINE SECRET ; OBLIGATION DE RENSEIGNER ; NÉGLIGENCE ; AMENDE ; INDEMNITÉ(EN GÉNÉRAL) ; FIXATION DE LA PEINE | LOJ.129</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ème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1.3</w:t>
      </w:r>
    </w:p>
    <w:p>
      <w:r>
        <w:t>Suite à l'entrée en vigueur de la loi modifiant la loi d’application du code pénal suisse et d’autres lois fédérales en matière pénale du 27 août 2009 (LaCP ; RS/GE E 4 10) au 1 er janvier 2017, le nouvel art. 129 al. 4 de la loi sur l’organisation judiciaire du 26 septembre 2010 (LOJ ; RS/GE E 2 05) prévoit que lorsque des contraventions font seules l’objet du prononcé attaqué et que l’appel ne vise pas une déclaration de culpabilité pour un crime ou un délit, la direction de la procédure est compétente pour statuer.</w:t>
      </w:r>
    </w:p>
    <w:p>
      <w:r>
        <w:rPr>
          <w:b/>
        </w:rPr>
        <w:t>E. 2</w:t>
      </w:r>
    </w:p>
    <w:p>
      <w:r>
        <w:t>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de l'appréciation de l'ensemble des preuves, le juge aurait dû éprouver des doutes sérieux et irréductibles sur sa culpabilité (ATF 120 Ia 31 consid. 2 p. 33 ss ; ATF 124 IV 86 consid. 2a p. 87 ss). 2.1.2. L'art. 179 CP réprime le comportement de celui qui, sans en avoir le droit, aura ouvert un pli ou colis fermé pour prendre connaissance de son contenu (al. 1) et de celui qui, ayant pris connaissance de certains faits en ouvrant un pli ou colis fermé qui ne lui était pas destiné, aura divulgué ces faits ou en aura tiré profit (al. 2). Le comportement punissable visé au premier alinéa consiste à ouvrir l'envoi, c'est-à-dire à en faire sauter la fermeture. L'infraction est consommée dès que l'auteur a ouvert le pli ou le colis, même s'il n'a pas pris connaissance de son contenu (B. CORBOZ, Les infractions en droit suisse , 3 e éd., Berne 2010, Vol. I, n. 9 ad . art. 179 CP). Il s'agit d'une infraction intentionnelle, le dol éventuel étant suffisant (M. DUPUIS / B. GELLER / G. MONNIER / L. MOREILLON / C. PIGUET / C. BETTEX / D. STOLL [éds], Code pénal - Petit commentaire , Bâle 2012, n. 15 ad art. 179 CP). Cette infraction n'est ainsi pas réalisée si une personne ouvre par inadvertance un envoi mis par erreur dans sa boîte aux lettres alors qu'il ne lui était en réalité pas destiné. Par ailleurs, l'auteur doit ouvrir l'envoi avec l'intention de prendre connaissance de son contenu (B. CORBOZ, op. cit. , n. 15 et 16 ad art. 179 CP). 2.1.3.1. Selon l'art. 14 CP, celui qui agit comme la loi l'ordonne ou l'autorise se comporte de manière licite, même si cet acte est punissable. L'art. 14 CP est une disposition cadre qui renvoie à d'autres normes légales : elle n'introduit aucun fait justificatif mais déclare licites les actes qui le sont déjà en vertu d'une autre norme juridique (M. NIGGLI / H. WIPRÄCHTIGER, Basler Kommentar Strafrecht I : Art. 1-110 StGB, Jugendstrafgesetz , 3 e éd., Bâle 2013, n. 1 ad art. 14 ; M. DUPUIS / B. GELLER / G. MONNIER / L. MOREILLON / C. PIGUET / C. BETTEX / D. STOLL [éds], op. cit. , Bâle 2012, n. 3 ad art. 14). 2.1.3.2. L'art. 170 du Code civil suisse du 10 décembre 1907 (CC ; RS 210) consacre le devoir de renseigner des époux. Ainsi, chacun peut demander à son conjoint qu'il le renseigne sur ses revenus, ses biens et ses dettes (al. 1). Le juge peut astreindre le conjoint du requérant ou des tiers à fournir les renseignements utiles et à produire les pièces nécessaires (al. 2).</w:t>
      </w:r>
    </w:p>
    <w:p>
      <w:r>
        <w:rPr>
          <w:b/>
        </w:rPr>
        <w:t>E. 2.2</w:t>
      </w:r>
    </w:p>
    <w:p>
      <w:r>
        <w:t>En l'espèce, l'appelante admet avoir ouvert et pris connaissance du contenu du courrier adressé à l'intimé. Elle argue cependant avoir agi par négligence, ayant ouvert le document sans faire attention au prénom qui y figurait et pensant qu'il était destiné à l'un ou l'autre de ses fils, se nommant F______ également et détenant un compte auprès de la E______. Ses explications à cet égard n'emportent pas conviction pour plusieurs raisons. Elles sont tout d'abord difficilement compréhensibles. En effet, d'une part, tous les membres de la famille de l'appelante portent le nom F______, non pas uniquement ses deux fils, et, d'autre part, elle n'est pas en mesure d'indiquer si le prénom de son époux ainsi que le nom de la banque se trouvaient sur l'enveloppe. Ensuite et contrairement à ce que l'appelante prétend, compte tenu de la relation particulièrement conflictuelle qu'elle entretient avec son époux et de leur absence de communication, elle avait un intérêt manifeste à prendre connaissance de tous documents relatifs à la situation financière de ce dernier, en particulier s'il s'agissait, comme en l'espèce, d'avoirs non déclarés, et à ce qu'ils soient produits dans la procédure de divorce les opposant. Elle a d'ailleurs reconnu qu'elle n'avait probablement pas demandé à son avocat d'envoyer le relevé litigieux à son destinataire et n'a pas non plus caché sa satisfaction en apprenant que cette pièce avait été transmise au juge civil, étant précisé que le premier juge a considéré qu'il subsistait un doute sur les instructions données par l'appelante à son conseil, écartant ainsi l'application de l'art. 179 al. 2 CP. Par conséquent, la question de savoir si la simple communication d'un document à un avocat remplit déjà l'élément constitutif objectif de la divulgation à un tiers peut rester ouverte, en raison de l'interdiction de la reformatio in pejus (art. 391 al. 2 CPP). Au vu de ce qui précède, la CPAR retient que le récit de l'appelante a, selon toute vraisemblance, été inventé pour les besoins de la cause et qu'elle a ainsi volontairement ouvert la correspondance adressée à l'intimé. Par ailleurs, le devoir de renseigner de chacun des époux (art. 170 CC) ne confère pas à l'appelante le droit de se renseigner d'elle-même sur les revenus, les biens et les dettes de l'intimé, mais plutôt celui de demander à être renseignée à l'intimé, qui peut également y être contraint par le juge civil. Dans ces conditions, le fait justificatif légal invoqué par l'appelante ne lui est d'aucun secours. Partant, c'est à bon droit que le premier juge l'a reconnue coupable de violation de secrets privés (art. 179 al. 1 CP). Le jugement entrepris sera ainsi confirmé sur ce point et l'appel rejeté.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3.1.2. L'infraction de violation de secrets privés est une contravention. À teneur de l'art. 106 al. 1 CP, sauf disposition contraire de la loi, le montant maximum de l'amende est de CHF 10'000.-. Celle-ci, de même que la peine privative de liberté de substitution, doit être fixée en tenant compte de la situation de l'auteur afin que la peine corresponde à la faute commise (art. 106 al. 3 CP).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art. 106).</w:t>
      </w:r>
    </w:p>
    <w:p>
      <w:r>
        <w:rPr>
          <w:b/>
        </w:rPr>
        <w:t>E. 3.2</w:t>
      </w:r>
    </w:p>
    <w:p>
      <w:r>
        <w:t>En l'espèce, l'appelante a ouvert un courrier destiné à l'intimé qui contenait un relevé de compte. Ce document a ensuite été produit dans la procédure de divorce. Minimisant les conséquences de son acte, elle ne semble pas avoir pris conscience du fait qu'il constitue tout de même une violation d'une norme pénale. Néanmoins, compte tenu de l'importance relative des avoirs détenus par l'intimé sur le compte précité, soit EUR 4'126.17, les répercussions sur ce dernier seront vraisemblablement faibles, voire inexistantes. Au regard de ces éléments et de la situation financière de l'appelante, l'amende infligée et la peine de substitution qui lui est rattachée prononcées par le premier juge sont adéquates. Le jugement sera donc aussi confirmé sur ce point.</w:t>
      </w:r>
    </w:p>
    <w:p>
      <w:r>
        <w:rPr>
          <w:b/>
        </w:rPr>
        <w:t>E. 4.1</w:t>
      </w:r>
    </w:p>
    <w:p>
      <w:r>
        <w:t>Aux termes de l'art. 433 al. 1 let. a CPP, la partie plaignante peut demander au prévenu une juste indemnité pour les dépenses obligatoires occasionnées par la procédure si elle obtient gain de cause ; tel est le cas lorsque le prévenu est condamné, respectivement lorsque les prétentions civiles sont admises (arrêt du Tribunal fédéral 6B_159/2012 du 22 juin 2012 consid. 2.2). La juste indemnité, notion qui laisse un large pouvoir d'appréciation au juge, couvre les dépenses et les frais nécessaires pour faire valoir le point de vue de la partie plaignante dans la procédure pénale. Il s'agit en premier lieu des frais d'avocat de la partie plaignante. L'utilité des démarches entreprises ne s'examine pas sous l'angle du résultat obtenu ; celles-ci doivent apparaître adéquates pour la défense du point de vue d'une partie plaignante raisonnable (arrêt du Tribunal fédéral 6B_159/2012 précité consid. 2.3). Les autorités genevoises appliquent, en matière d'honoraires d'avocat, un tarif horaire de CHF 450.- ( ACPR/112/2014 du 26 février 2014, renvoyant au tarif " usuel " de CHF 400.- ressortant de la SJ 2012 I 175 ; ACPR/279/2014 du 27 mai 2014) ou de CHF 400.- ( ACPR/282/2014 du 30 mai 2014), notamment si l'avocat concerné a lui-même calculé sa prétention à ce taux-là ( ACPR/377/2013 du 13 août 2013 ACPR/302/2014 du 18 juin 2014).</w:t>
      </w:r>
    </w:p>
    <w:p>
      <w:r>
        <w:rPr>
          <w:b/>
        </w:rPr>
        <w:t>E. 4.2</w:t>
      </w:r>
    </w:p>
    <w:p>
      <w:r>
        <w:t>En l'espèce, l'appelante ne conteste pas en tant que tel le montant de la juste indemnité réduite à CHF 2'349.- allouée par le premier juge à l'intimé à titre de remboursement de ses honoraires d'avocat, laquelle est adéquate et tient compte des principes rappelés supra .</w:t>
      </w:r>
    </w:p>
    <w:p>
      <w:r>
        <w:rPr>
          <w:b/>
        </w:rPr>
        <w:t>E. 4.3</w:t>
      </w:r>
    </w:p>
    <w:p>
      <w:r>
        <w:t>La partie plaignante ayant obtenu gain de cause en appel, vu la confirmation du verdict de culpabilité, le principe de l'indemnisation pour ses frais d'avocat lui est acquis. La CPAR ignore quel tarif horaire a été appliqué par le collaborateur (étant en effet même possible qu'il se soit agi d'un stagiaire) de Me D______ ayant en particulier rédigé le mémoire réponse du 8 juin 2017 et appliquera le taux horaire de CHF 350.- à l'instar du juge de première instance. La note produite ne permet pas davantage de ventiler les prestations indiquées et de connaître la durée de chacune. La CPAR retiendra donc, à titre de juste indemnité, à l'identique de ce que réclamait le conseil de l'appelante, la durée de 2h30 pour ledit mémoire et de 1h pour les autres activités, soit un total de 3h30. Par conséquent, l'appelante sera condamnée à verser à la partie plaignante la somme de CHF 1'323.- au titre de ses frais de défense en appel, correspondant à 3h30 d'activité (CHF 1'225.-), plus la TVA de 8% (CHF 98.-).</w:t>
      </w:r>
    </w:p>
    <w:p>
      <w:r>
        <w:rPr>
          <w:b/>
        </w:rPr>
        <w:t>E. 5</w:t>
      </w:r>
    </w:p>
    <w:p>
      <w:r>
        <w:t>Vu l'issue de la procédure, l'appelante sera déboutée de ses prétentions en indemnisation (art. 429 al. 1 CPP a contrario ).</w:t>
      </w:r>
    </w:p>
    <w:p>
      <w:r>
        <w:rPr>
          <w:b/>
        </w:rPr>
        <w:t>E. 6</w:t>
      </w:r>
    </w:p>
    <w:p>
      <w:r>
        <w:t>L'appelante, qui succombe, supportera les frais de la procédure envers l'Etat, qui comprennent un émolument de jugement de CHF 1'200.- (art. 428 CPP et art. 14 al. 1 let. e du Règlement fixant le tarif des frais en matière pénale du 22 décembre 2010 [RTFMP ; RS/GE E 4 10.03]). * * * * * PAR CES MOTIFS, L A PRÉSIDENT E DE LA CHAMBRE PÉNALE D'APPEL ET DE RÉVISION : Reçoit l'appel formé par A______ contre le jugement JTDP/33/2017 rendu le 16 janvier 2017 par le Tribunal de police dans la procédure P/2734/2016. Le rejette. Condamne A______ à payer à C______ la somme de CHF 1'323.-, TVA comprise, à titre d'indemnité pour les dépenses occasionnées par l'exercice raisonnable de ses droits dans la procédure d'appel. Rejette les conclusions en indemnisation de A______. Condamne A______ aux frais de la procédure d'appel, qui comprennent un émolument de CHF 1'200.-. Notifie le présent arrêt aux parties. Le communique, pour information, au Tribunal de police, au Service des contraventions et à l'Office cantonal de la population et des migrations. Le greffier : Mark SPAS La présidente : Valérie LAUBER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P/2734/2016 ÉTAT DE FRAIS AARP/211/2017 COUR DE JUSTICE Selon les art. 4 et 14 du règlement du 22 décembre 2010 fixant le tarif des frais et dépens en matière pénale (E 4 10.03). Total des frais de procédure du Tribunal de police : Frais de première instance à la charge de A______ CHF 1'320.00 Bordereau de frais de la Chambre pénale d'appel et de révision Délivrance de copies et photocopies (let. a, b et c) CHF 0.00 Mandats de comparution, avis d'audience et divers (let. i) CHF 240.00 Procès-verbal (let. f) CHF 0.00 État de frais CHF 75.00 Émolument de décision CHF 1'200.00 Total des frais de la procédure d'appel : Frais de la procédure d'appel à la charge de A______ CHF 1'515.00 Total général (première instance + appel) : CHF 2'835.00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