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P/27155/2022 vom 28. März 2024</w:t>
      </w:r>
    </w:p>
    <w:p>
      <w:r>
        <w:t>GE Cour de justice, 2024-03-28, FR</w:t>
      </w:r>
    </w:p>
    <w:p>
      <w:r>
        <w:rPr>
          <w:b/>
        </w:rPr>
        <w:t xml:space="preserve">Quelle: </w:t>
      </w:r>
      <w:r>
        <w:t>https://mcp.opencaselaw.ch/entscheid/ge_gerichte_P_27155_2022</w:t>
      </w:r>
    </w:p>
    <w:p>
      <w:r>
        <w:t>FR: GE_GERICHTE P/27155/2022 du 28 mars 2024</w:t>
      </w:r>
    </w:p>
    <w:p>
      <w:r>
        <w:t>IT: GE_GERICHTE P/27155/2022 del 28 marzo 2024</w:t>
      </w:r>
    </w:p>
    <w:p>
      <w:pPr>
        <w:pStyle w:val="Heading2"/>
      </w:pPr>
      <w:r>
        <w:t>Regeste</w:t>
      </w:r>
    </w:p>
    <w:p>
      <w:r>
        <w:t>AVOCAT;CONFLIT D'INTÉRÊTS | CPP.127; LLCA.12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l'avocat d'office révoqué qui a qualité pour agir, ayant un intérêt juridiquement protégé à la modification ou à l'annulation de la décision querellée (art. 382 al. 1 CPP ; arrêt du Tribunal 6B_466/2020 du 4 septembre 2020 consid. 1).</w:t>
      </w:r>
    </w:p>
    <w:p>
      <w:r>
        <w:rPr>
          <w:b/>
        </w:rPr>
        <w:t>E. 2</w:t>
      </w:r>
    </w:p>
    <w:p>
      <w:r>
        <w:t>Le recourant conteste que les conditions de son remplacement en qualité de conseil d'office soient réalisées.</w:t>
      </w:r>
    </w:p>
    <w:p>
      <w:r>
        <w:rPr>
          <w:b/>
        </w:rPr>
        <w:t>E. 2.1</w:t>
      </w:r>
    </w:p>
    <w:p>
      <w:r>
        <w:t>Selon l'art. 134 al. 2 CPP, applicable par analogie au conseil juridique gratuit de la partie plaignante (art. 137 CPP), la direction de la procédure confie la défense d'office à une autre personne si la relation entre le prévenu et son défenseur est gravement perturbée ou si une défense efficace n'est plus assurée pour d'autres raisons.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7B_866/2023 du 10 mai 2024 consid. 3.1.2), par exemple en cas de conflit d'intérêts ou de carences manifestes (ATF 139 IV 113 consid. 1.1; 138 IV 161 consid. 2.4; 135 I 261 consid. 1.2 ; arrêt du Tribunal fédéral 1B_539/2022 du 16 janvier 2023 consid. 2).</w:t>
      </w:r>
    </w:p>
    <w:p>
      <w:r>
        <w:rPr>
          <w:b/>
        </w:rPr>
        <w:t>E. 2.2</w:t>
      </w:r>
    </w:p>
    <w:p>
      <w:r>
        <w:t>À teneur de l'art. 127 al. 3 CPP, un conseil juridique peut défendre dans la même procédure les intérêts de plusieurs participants à la procédure dans les limites de la loi et des règles de sa profession. Les parties peuvent choisir pour conseil juridique toute personne digne de confiance, jouissant de la capacité civile et ayant une bonne réputation; la législation sur les avocats est réservée (art. 127 al. 4 CPP). Le principe énoncé à l'art. 12 let. c de la loi fédérale sur les avocat (LLCA)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(141 IV 257 consid. 2.1 et les références citées).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Il y a conflit d'intérêts au sens de l'art. 12 let. c LLCA dès que survient la possibilité d'utiliser, consciemment ou non, dans un nouveau mandat les connaissances acquises antérieurement sous couvert du secret professionnel, dans l'exercice d'un premier mandat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arrêts du Tribunal fédéral 6B_993/2022 du 18 mars 2024 consid. 2.2.1; 1B_476/2022 du 6 décembre 2022 consid. 2.2.1 et les références citées). Dès que le conflit d'intérêts survient, l'avocat doit mettre fin à la représentation (ATF 145 IV 218 consid. 2.1 et les arrêts cités; arrêt du Tribunal fédéral 6B_993/2022 du 18 mars 2024 consid. 2.2.1).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147 III 351 consid. 6.1.3; 138 II 162 consid. 2.5.1 ; arrêt du Tribunal fédéral 7B_215/2024 du 6 mai 2024 consid. 2.1.1 et 2.1.2). Il y a ainsi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La règle de l'interdiction du conflit d'intérêts est absolue en matière de représentation en justice ; le consentement éventuel des parties n'y change rien (arrêt du Tribunal fédéral 1A.223/2002 du 18 mars 2003 consid. 5.2 ; M. VALTICOS / A. REISER / B. CHAPPUIS /F. BOHNET, Commentaire romand de la LLCA , 2 ème éd., 2022, n. 146 ad art. 12 LLCA).</w:t>
      </w:r>
    </w:p>
    <w:p>
      <w:r>
        <w:rPr>
          <w:b/>
        </w:rPr>
        <w:t>E. 2.3</w:t>
      </w:r>
    </w:p>
    <w:p>
      <w:r>
        <w:t>En l'espèce, il n'est pas contesté que le recourant a, dans un premier temps, été consulté par les deux époux et les a représentés devant les juridictions civiles, avant de se limiter à la défense de l'épouse dans des procédures pénales et civiles dirigées contre le conjoint de celle-ci. Cette situation est problématique, tant sous l'angle de la capacité de postuler que sous celui de la relation de confiance entre l'avocat et sa cliente. À titre préalable, il faut souligner les affirmations fluctuantes de l'avocat : dans certaines de ses prises de position écrites, il nie avoir été mandaté par D______, alors qu'il s'était pourtant expressément constitué à la défense des époux, et donc du précité, procuration signée à l'appui devant le TPAE, puis il reconnaît, dans son recours par exemple, avoir été consulté par le prénommé. Parallèlement, il réfute l'existence d'un potentiel conflit d'intérêts, alors qu'il a justifié la fin de son mandat le liant à D______ par le risque de conflit d'intérêts qu'il avait lui-même identifié alors. En tout état, il résulte du dossier que le mandat confié par le couple visait à ce que l'avocat les assiste ensemble dans une procédure devant le TPAE concernant leurs enfants. Au vu de la nature de cette procédure, le déroulement de la vie de couple, voire l'existence d'éventuelles violences conjugales commises par le mari, pouvaient vraisemblablement jouer un rôle et ont été ou auraient pu être abordés par l'avocat et ses clients. Or, les faits dénoncés pénalement par l'épouse sont censés s'être déroulés, au moins pour partie, à la même époque où l'avocat représentait le couple, voire peu avant. Il existe donc un lien de connexité étroit entre l'objet du double mandat et la présente procédure. Certes, ce double mandat a été d'une durée relativement brève, mais il ne saurait être retenu d'emblée que l'avocat n'a appris aucun fait qui pourrait jouer un rôle dans la défense de l'épouse désormais opposée à son mari. Dans ce contexte, ce n'est pas tant la défense des intérêts de l'épouse qui pourrait être compromise que celle du mari, si l'avocat a été le confident de celui-ci. Le mari pourrait donc s'opposer valablement à ce que son ancien avocat représente désormais sa partie adverse. Ainsi, sous l'angle de la capacité à postuler, le fait que l'avocat ait exercé un double mandat, puis le limite à une seule des parties désormais opposée à l'autre ne saurait être admis. Le risque de conflit d'intérêts est donc concret en l'espèce et écorne objectivement la confiance de la cliente en son avocat. Le fait que la cliente ait pu consentir à être représentée par le recourant pendant une certaine durée est sans importance, puisque la volonté des parties ne joue pas de rôle. Elle est donc fondée à se prévaloir de cette situation seulement à ce stade. L'existence d'une décision contraire des autorités compétentes en matière d'assistance judiciaire civile est sans incidence. La décision du Ministère public de révoquer le mandat d'office du recourant est donc fondée et sera confirmée.</w:t>
      </w:r>
    </w:p>
    <w:p>
      <w:r>
        <w:rPr>
          <w:b/>
        </w:rPr>
        <w:t>E. 3</w:t>
      </w:r>
    </w:p>
    <w:p>
      <w:r>
        <w:t>Le recourant,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