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P/27115/2022 vom 8. September 2025</w:t>
      </w:r>
    </w:p>
    <w:p>
      <w:r>
        <w:t>GE Cour de justice, 2025-09-08, FR</w:t>
      </w:r>
    </w:p>
    <w:p>
      <w:r>
        <w:rPr>
          <w:b/>
        </w:rPr>
        <w:t xml:space="preserve">Quelle: </w:t>
      </w:r>
      <w:r>
        <w:t>https://mcp.opencaselaw.ch/entscheid/ge_gerichte_P_27115_2022</w:t>
      </w:r>
    </w:p>
    <w:p>
      <w:r>
        <w:t>FR: GE_GERICHTE P/27115/2022 du 8 septembre 2025</w:t>
      </w:r>
    </w:p>
    <w:p>
      <w:r>
        <w:t>IT: GE_GERICHTE P/27115/2022 del 8 settembre 2025</w:t>
      </w:r>
    </w:p>
    <w:p>
      <w:pPr>
        <w:pStyle w:val="Heading2"/>
      </w:pPr>
      <w:r>
        <w:t>Regeste</w:t>
      </w:r>
    </w:p>
    <w:p>
      <w:r>
        <w:t>ADMINISTRATION DES PREUVES;EXPERTISE;INCENDIE INTENTIONNEL;OPPOSITION À UN ACTE DE L'AUTORITÉ;IRRESPONSABILITÉ;MESURE THÉRAPEUTIQUE INSTITUTIONNELLE | CP.221; CP.22.al1; CP.286; CP.19.al1; CPP.375.al1; CP.59; CPP.389; CPP.139.al2; CPP.189</w:t>
      </w:r>
    </w:p>
    <w:p>
      <w:pPr>
        <w:pStyle w:val="Heading2"/>
      </w:pPr>
      <w:r>
        <w:t>Erwägungen</w:t>
      </w:r>
    </w:p>
    <w:p>
      <w:r>
        <w:rPr>
          <w:b/>
        </w:rPr>
        <w:t>E. 1</w:t>
      </w:r>
    </w:p>
    <w:p>
      <w:r>
        <w:t>L'appel est recevable pour avoir été interjeté et motivé selon la forme et dans les délais prescrits (art. 398 et 399 du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Afin de déterminer quel moyen de preuve doit l'être, le juge dispose d'un pouvoir d'appréciation étendu (arrêts du Tribunal fédéral 6B_614/2012 du 15 février 2013 consid. 3.2.3 ; 6B_484 2012 du 11 décembre 2012 consid. 1.2). 2.1.2. Selon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6B_366/2021 du 26 janvier 2022 consid. 2.1.3 ; 6B_237/2021 du 6 décembre 2021 consid. 2.1 ; 6B_211/2021 du 2 août 2021 consid. 3.2).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w:t>
      </w:r>
    </w:p>
    <w:p>
      <w:r>
        <w:rPr>
          <w:b/>
        </w:rPr>
        <w:t>E. 2.2</w:t>
      </w:r>
    </w:p>
    <w:p>
      <w:r>
        <w:t>À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l'exactitude de l'expertise est mise en doute (let. c). L'expertise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 du Tribunal fédéral 6B_980/2020 du 23 novembre 2020 consid. 3.1). Si le juge se fonde sur une expertise dont les conclusions apparaissent douteuses sur des points essentiels et qu'il renonce à recueillir des preuves complémentaires, il peut commettre une appréciation arbitraire des preuves et violer l'art. 9 Cst. (ATF 142 IV 49 consid. 2.1.3). Savoir si une expertise est convaincante est une question d'interprétation des preuves. Lorsque l'autorité cantonale juge l'expertise concluante et en fait sien le résultat, le grief d'appréciation arbitraire n'est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 6B_980/2020 du 23 novembre 2020 consid. 3.1).</w:t>
      </w:r>
    </w:p>
    <w:p>
      <w:r>
        <w:rPr>
          <w:b/>
        </w:rPr>
        <w:t>E. 2.3</w:t>
      </w:r>
    </w:p>
    <w:p>
      <w:r>
        <w:t>En l'espèce, l'appelant sollicite l'apport à la procédure d'une contre-expertise, subsidiairement, d'un complément d'expertise, ainsi que l'audition du Dr E______. L'expertise psychiatrique rendue en 2023 dans le cadre de la présente procédure par des experts indépendants est claire, complète et aucun motif ne conduit à douter de son bien-fondé. Contrairement à ce que l'appelant soutient, les experts ont en effet rendu leur expertise en toute indépendance, ayant expliqué avec précision l'évolution de l'état mental de ce dernier entre 2021 et 2023 et les raisons de leur diagnostic différentiel par la récente détection – en août 2022 – des premiers symptômes de schizophrénie. Ils sont par ailleurs revenus sur l'évaluation du risque de récidive et de la mesure préconisée. À cela s'ajoute encore que l'appelant, assisté de son conseil, a eu l'opportunité de poser des questions aux deux experts devant le MP, qui ont confirmé les conclusions de leur rapport. En définitive, rien ne permet de douter du bien-fondé de cette expertise ou de remettre en doute les conclusions des experts. La mise en œuvre d'une contre-expertise, voire d'un complément d'expertise, ne se justifie pas. Il en va de même de la demande d'audition de Dr E______, qui aurait pu établir une attestation écrite à la demande du prévenu, et notamment se prononcer sur les conclusions de l'expertise, s'il l'avait jugé nécessaire. Dans tous les cas, en sa qualité de médecin-traitant, son opinion ne saurait se substituer à celle des experts précités, seuls à même de se prononcer sur une éventuelle mesure.</w:t>
      </w:r>
    </w:p>
    <w:p>
      <w:r>
        <w:rPr>
          <w:b/>
        </w:rPr>
        <w:t>E. 3</w:t>
      </w:r>
    </w:p>
    <w:p>
      <w:r>
        <w:t>3.1.1. Le principe in dubio pro reo, qui découle de la présomption d'innocence, garantie par les art. 6 ch. 2 de la convention de sauvegarde des droits de l'homme et des libertés fondamentales (CEDH),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3.1.2.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w:t>
      </w:r>
    </w:p>
    <w:p>
      <w:r>
        <w:rPr>
          <w:b/>
        </w:rPr>
        <w:t>E. 3.2</w:t>
      </w:r>
    </w:p>
    <w:p>
      <w:r>
        <w:t>En application de l'art. 221 CP, quiconque, intentionnellement, cause un incendie et porte ainsi préjudice à autrui ou fait naître un danger collectif est puni d'une peine privative de liberté d'un an au moins (al. 1). Le juge peut prononcer une peine privative de liberté de trois ans au plus ou une peine pécuniaire si le dommage est de peu d'importance (al. 3).</w:t>
      </w:r>
    </w:p>
    <w:p>
      <w:r>
        <w:rPr>
          <w:b/>
        </w:rPr>
        <w:t>E. 3.2.1</w:t>
      </w:r>
    </w:p>
    <w:p>
      <w:r>
        <w:t>Pour que l'existence d'un incendie au sens de l'art. 221 CP puisse être retenue, un sinistre de peu d'importance et pouvant être maîtrisé sans danger ne suffit pas.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 105 IV 127 consid. 1a).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La notion de danger collectif vise de manière générale une mise en péril, même relativement indéterminée au moment de l'acte, de n'importe quel bien juridiquement protégé, et non pas spécifiquement de la personne humaine. Il y a danger collectif lorsqu'il existe un risque que le feu se propage (arrêt du Tribunal fédéral 6B_1280/2018 du 20 mars 2019 consid. 3.1). Si l'auteur a voulu - au moins sous la forme du dol éventuel - causer un incendie au sens de l'art. 221 CP, mais que le feu n'a pas pris une ampleur suffisante, cela ne signifie pas que l'acte n'est pas punissable, mais seulement que l'infraction n'est pas consommée ; le cas doit alors être analysé à la lumière de l'art. 22 CP (ATF 117 IV 285 consid. 2a). L'infraction requiert l'intention de causer un incendie ainsi qu'un préjudice pour autrui ou de créer un danger collectif, le dol éventuel étant suffisant (ATF 107 IV 182 consid. 2c ; 105 IV 39 consid. 2c ; arrêts du Tribunal fédéral 6B_990/2020 du 26 novembre 2021 consid. 1.2 ; 6B_1280/2018 du 20 mars 2019 consid. 3.1 ; 6B_145/2016 du 23 novembre 2016 consid. 2.1). Crée notamment un danger concret pour la vie et l'intégrité corporelle, le détenu qui provoque dans sa cellule, tard dans la nuit, un incendie qui dégage une fumée épaisse, la présence d'émanations toxiques de monoxyde de carbone constituant un danger imminent pour la santé (ATF 105 IV 127 consid. 3 = JdT 1980 IV 136), sous réserve que l'intoxication par la fumée soit très probable (ATF 123 IV 130 consid. 2a).</w:t>
      </w:r>
    </w:p>
    <w:p>
      <w:r>
        <w:rPr>
          <w:b/>
        </w:rPr>
        <w:t>E. 3.2.2</w:t>
      </w:r>
    </w:p>
    <w:p>
      <w:r>
        <w:t>Pour l'application de l'al. 3, on se fonde sur le résultat objectif de l'incendie et non pas sur la volonté de l'auteur, ni sur le seul danger créé. L'al. 3 est également applicable en cas de tentative. Cette circonstance atténuante est applicable même en cas de mise en danger collective et/ou de mise en danger de la vie ou de l'intégrité corporelle des personnes. La jurisprudence fédérale n'a pas fixé en francs la limite supérieure du dommage de peu d'importance. Elle devrait être notablement supérieure au dommage de moindre importance de l'art. 172 ter CP, compte tenu des peines différentes prévues par les deux dispositions (M. DUPUIS / L. MOREILLON / C. PIGUET / S. BERGER / M. MAZOU / V. RODIGARI [éds], Code pénal - Petit commentaire, 2 ème éd., Bâle 2017, n. 32 et 33 ad art. 221).</w:t>
      </w:r>
    </w:p>
    <w:p>
      <w:r>
        <w:rPr>
          <w:b/>
        </w:rPr>
        <w:t>E. 3.3</w:t>
      </w:r>
    </w:p>
    <w:p>
      <w:r>
        <w:t>L'art. 286 CP prévoit que quiconque empêche une autorité, un membre d'une autorité ou un fonctionnaire de faire un acte entrant dans ses fonctions est puni d'une peine pécuniaire de 30 jours-amende au plus.</w:t>
      </w:r>
    </w:p>
    <w:p>
      <w:r>
        <w:rPr>
          <w:b/>
        </w:rPr>
        <w:t>E. 3.3.1</w:t>
      </w:r>
    </w:p>
    <w:p>
      <w:r>
        <w:t>L'infraction se distingue de celle d'insoumission à une décision de l'autorité (art. 292 CP) du fait qu'une simple désobéissance ne suffit pas. Pour qu'il y ait opposition aux actes de l'autorité au sens de l'art. 286 CP,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ni qu'il entrave le résultat visé par l'acte de l'autorité sans l'empêcher en tant que tel (ATF 124 IV 127 consid. 3a = JdT 1999 IV 130 ; 110 IV 92 consid. b et c = JdT 1986 IV 31). Le comportement incriminé à l'art. 286 CP suppose une résistance qui implique une certaine activité (ATF 133 IV 97 consid. 4.2 ; 127 IV 115 consid. 2 = JdT 2006 IV 252) qui est réalisée, par exemple, par le fait de prendre la fuite (ATF 120 IV 136 consid. 2a = JdT 1996 IV 125).</w:t>
      </w:r>
    </w:p>
    <w:p>
      <w:r>
        <w:rPr>
          <w:b/>
        </w:rPr>
        <w:t>E. 3.4</w:t>
      </w:r>
    </w:p>
    <w:p>
      <w:r>
        <w:t>En l'espèce, il est établi, en particulier sur la base des déclarations de l'appelant, qu'il a, après avoir entendu des voix menaçantes et été pris de panique, allumé un feu en pleine nuit au sein de sa cellule de prison. L'appelant a ainsi admis avoir bouté le feu au moyen d'un briquet à du papier ou à un sac plastique, matériaux tous deux inflammables, dans la poubelle de ses toilettes, ce qui avait provoqué des flammes, ainsi que d'importantes émanations de fumée, qui l'ont indisposé, tout comme les deux agents intervenus par la suite. Dans ce lieu clos et, par essence, particulièrement hermétique, cette fumée s'est très rapidement propagée, puisqu'elle a pénétré dans une cellule de l'étage du dessus et que plusieurs heures de ventilation ont été nécessaires pour en venir à bout. Ainsi, s'il est n'est pas contesté que l'appelant est resté maître des flammes jusqu'à l'intervention des agents de détention, il n'en va pas de même de la fumée qui s'en est dégagée, créant de la sorte un danger imminent pour la santé des très nombreux occupants et intervenants de la prison. L'appelant ne saurait être suivi lorsqu'il avance que son intention n'était pas de causer un incendie mais seulement d'alerter la sécurité. En effet, d'une part, il avait à sa disposition d'autres solutions bien plus rapides et moins dommageable pour ce faire, ce qu'il admet désormais, mais surtout, il a pris le soin de placer des vêtements sous la porte et d'obstruer le sprinkler de sa cellule, retardant d'autant la détection de la combustion par les secours et donc leur promptitude à intervenir. À ce sujet, ses déclarations en ce qu'il ne serait pas à l'origine de ce dernier geste n'emportent pas conviction, dès lors qu'il vivait seul depuis plus d'un mois dans une cellule, dont les dispositifs de surveillance font, à n'en point douter, l'objet de multiples et récurrents contrôles. Ainsi, l'appelant, qui était précisément en mesure d'éteindre le feu lui-même, a accepté le risque, en restant passif, qu'il prenne la forme d'un incendie susceptible de causer une mise en danger collective. Cela étant, à l'arrivée quasiment immédiate des agents de détention, il ne restait que de la fumée, qui les a légèrement incommodés, tout comme l'appelant, et quelques flammèches, qu'ils avaient rapidement pu éteindre à l'aide d'un extincteur, ce qui plaide en faveur d'un feu de petite envergure. Partant, il sera retenu que l'infraction n'a été que tentée, le feu allumé par l'appelant ayant été rapidement maîtrisé, sans causer d'autre dommage qu'aux éléments enflammés. Néanmoins, compte tenu de l'emplacement choisi (sol des toilettes en résine d'une cellule de prison), l'appelant avait envisagé et accepté, à tout le moins par dol éventuel, que son geste occasionne des dégâts d'un montant notablement supérieur à CHF 300.-, ce qui exclut l'application de l'art. 172 ter CP. Cet incendie lui est ainsi imputable, y compris dans l'absurdité qui fait qu'il a calfeutré et mis le feu à sa propre cellule. Ce caractère irrationnel s'explique sans aucun doute par les troubles psychiatriques dont souffre l'appelant, qui a ainsi agi en état d'irresponsabilité. Le jugement sera par conséquent confirmé sur ce point et l'appel rejeté.</w:t>
      </w:r>
    </w:p>
    <w:p>
      <w:r>
        <w:rPr>
          <w:b/>
        </w:rPr>
        <w:t>E. 3.5</w:t>
      </w:r>
    </w:p>
    <w:p>
      <w:r>
        <w:t>Bien que l'appelant prétende le contraire, il est établi, à teneur du dossier, qu'il a d'abord refusé de sortir de sa cellule. Le témoin F______ a en revanche expliqué qu'après que son collègue l'avait saisi par le bras, le prévenu s'était finalement laissé faire, de sorte qu'il doit être retenu qu'il n'a en définitive opposé aucune résistance à l'intervention des agents. Il s'agit tout au plus d'une simple désobéissance, laquelle n'est pas punie par l'art. 286 CP. L'appel sera partant admis et le jugement entrepris réformé sur ce point.</w:t>
      </w:r>
    </w:p>
    <w:p>
      <w:r>
        <w:rPr>
          <w:b/>
        </w:rPr>
        <w:t>E. 4</w:t>
      </w:r>
    </w:p>
    <w:p>
      <w:r>
        <w:t>4.1.1. L'auteur n'est pas punissable si, au moment d'agir, il ne possédait pas la faculté d'apprécier le caractère illicite de son acte ou de se déterminer d'après cette appréciation (art. 19 al. 1 CP). Lorsqu'un individu est reconnu irresponsable, il doit être affranchi de toute culpabilité et de toute peine, sous réserve du prononcé d'une des mesures prévues aux art. 59 à 61, 63, 64, 67, 67b et 67e (art. 19 al. 3 CP). 4.1.2.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dire si une mesure doit être ordonnée et, cas échéant, laquelle. En effet, ce n'est pas à l'expert, mais bien au juge qu'il appartient de résoudre les questions juridiques qui se posent, dans le complexe de faits faisant l'objet de l'expertise (ATF 118 Ia 144 consid. 1c ; arrêts du Tribunal fédéral 6B_1160/2017 du 17 avril 2018 consid. 2.1 ; 6B_1348/2017 du 22 janvier 2018 consid. 1.1.3 ; 6B_1297/2015 du 22 mars 2017 consid. 3.1 ; 6B_346/2016 du 31 janvier 2017 consid. 3.2).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Si plusieurs mesures s'avèrent appropriées, mais qu'une seule est nécessaire, le juge ordonne celle qui porte à l'auteur les atteintes les moins graves. Si plusieurs mesures s'avèrent nécessaires, le juge peut les ordonner conjointement (art. 56a CP). 4.1.3. Toute sanction pénale qui restreint un droit fondamental doit respecter le principe de proportionnalité (art. 36 al. 2 et 3 Cst.). En matière de mesures, ce principe a été concrétisé à l'art. 56 al. 2 CP.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du Tribunal fédéral 6B_109/2013 du 19 juillet 2013 consid. 4.4.1).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L'importance de l'intérêt public à la prévention d'infractions futures doit se déterminer d'après cette vraisemblance et la gravité des infractions en question. Plus les infractions que l'auteur pourrait commettre sont graves, plus le risque qui justifie le prononcé d'une mesure peut être faible, et inversement. L'atteinte aux droits de la personnalité de l'auteur dépend, quant à elle,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6B_993/2020 du 13 octobre 2020 consid. 1.1 ; 6B_608/2018 du 28 juin 2018 consid. 1.1 ; 6B_1317/2017 du 22 mai 2018 consid. 3.1 ; 6B_1167/2014 du 26 août 2015 consid. 3.1 ; 6B_109/2013 du 19 juillet 2013 consid. 4.4.1 et 4.4.4). Au demeurant, l'art. 56a CP rappelle que si plusieurs mesures s'avèrent appropriées, mais qu'une seule est nécessaire, le juge ordonne celle qui porte à l'auteur les atteintes les moins graves (ATF 118 IV 108 consid. 2a). 4.1.4.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 du Tribunal fédéral 6B_784/2010 du 2 décembre 2010 consid. 2.1).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6B_31/2015 du 26 mai 2015 consid. 2.1).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la simple administration statique et conservatoire des soins, mais doit viser un impact thérapeutique dynamique. Il doit être suffisamment vraisemblable que celui-ci entraînera, dans les cinq ans de sa durée normale, une réduction nette du risque que l'intéressé commette de nouvelles infractions. La seule possibilité vague d'une diminution du danger ne suffit pas (ATF 141 IV 1 consid. 3.2.4 ; 134 IV 315 consid. 3.4.1 ; arrêts du Tribunal fédéral 6B_130/2018 du 27 juin 2018 consid. 3.1.1 ; 6B_1397/2017 du 26 avril 2018 consid. 1.1.2). La gravité de l'infraction qui donne lieu à la mesure ne constitue pas une condition de cette dernière. C'est l'état de santé mental du recourant qui détermine sa nécessité. Les actes commis ne constituent que des indices de la dangerosité que l'expert doit apprécier (arrêt du Tribunal fédéral 6B_950/2009 du 10 mars 2010 consid. 3.3.2 avec référence à l'ATF 127 IV 1 consid. 2c/cc). 4.1.5. L'autorité d'exécution a la compétence de choisir le lieu d'exécution de la mesure thérapeutique institutionnelle.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2.4.4 et 2.5). 4.2.1. En l'espèce, il ressort clairement de l'expertise du 15 septembre 2023 que les actes commis par le prévenu, en état d'irresponsabilité, sont en rapport avec son état mental altéré. Il présente plusieurs pathologies nécessitant des soins et une prise en charge adéquate. L'appelant s'y oppose, au motif qu'il irait mieux et que les expertises psychiatriques ne seraient pas fiables, compte tenu notamment de leurs conclusions divergentes. Or, comme indiqué ci-avant (voir supra ch. 2.3), cette évolution résulte de l'apparition, en août 2022, des premiers symptômes de schizophrénie, les experts ayant par ailleurs noté une nette dégradation de l'état psychique du prévenu. Dans tous les cas, il ne fait valoir aucun élément concret permettant de s'écarter des conclusions des experts, et notamment aucun élément médical permettant de remettre en question leurs conclusions. En effet, bien que les rapports du SMP fassent état, comme relevé par la défense, d'une progression positive, d'une stabilité psychique, ainsi que de l'absence de signe de décompensation psychotique, sa recommandation consiste néanmoins également en une prise en charge sur le long cours, afin de permettre à l'appelant une meilleure gestion de ses pathologies psychiatriques et de prévenir une future rechute, de sorte qu'une mesure thérapeutique apparaît, dans tous les cas, adéquate et nécessaire. La question essentielle est ainsi celle du choix de la mesure adaptée aux circonstances. Il faut procéder à une pesée des intérêts divergents en présence, c'est-à-dire entre la gravité du danger que la mesure cherche à éviter et l'importance de l'atteinte aux droits du prévenu, inhérente à la mesure. 4.2.2. Les experts ont conclu sans équivoque à la nécessité d'une prise en charge en milieu fermé tel que l'établissement de Curabilis, confirmant que ce traitement, qui devrait être mis en œuvre pour une année au moins, voire au-delà aussi longtemps que le trouble psychotique n'était pas compensé, serait de nature à permettre une diminution du risque de récidive. Le principe de l'adéquation est respecté. L'expertise retient également qu'aucune autre mesure ne permettrait d'atteindre le but visé, les tentatives de traitement ambulatoire et hospitalier sur l'appelant ayant toutes échoué, au regard de la méconnaissance de sa maladie et de ses caractéristiques dyssociales de personnalité, et une mesure en milieu ouvert étant vouée à l'échec, en raison du risque de rechute dans la toxicomanie et de fuite. Les experts précisent également que le prévenu, n'ayant pas conscience de sa maladie mentale, n'était pas apte à consentir au traitement mais qu'un traitement ordonné contre sa volonté avait néanmoins des chances de pouvoir être mis en œuvre, étant précisé à cet égard qu'il a interrompu son traitement médicamenteux qu'il estime inutile, voire responsable de son état, alors que cette interruption semble avoir réactivé la symptomatologie hallucinatoire, et qu'il se montre ambivalent sur la nécessité d'un suivi thérapeutique. De plus, la multiplication des sanctions disciplinaires en prison, tout comme ses dénégations à ce sujet, confirment le besoin de cadre et de suivi du prévenu. Le principe de subsidiarité est également respecté. Compte tenu de la gravité des agissements imputés à l'appelant – une tentative d'incendie qui aurait pu avoir de lourdes conséquences –, de leur escalade progressive dans la violence, vu ses nombreux antécédents, et du risque de récidive très élevé de commission d'actes violents, du fait de la présence de la schizophrénie paranoïde antérieurement et durant les faits, de la difficulté de mettre en place le traitement, de son anosognosie totale et de ses tendances dyssociales, les conclusions des experts doivent être suivies. L'appelant persistant à contester les faits et n'ayant pas pleinement pris conscience de la gravité de ceux-ci et de la nécessité des soins, seule une mesure thérapeutique institutionnelle, au sens de l'art. 59 CP, apparaît apte à prévenir la récidive et soigner les troubles de l'appelant. Il appartiendra au SRSP de déterminer le lieu d'exécution de la mesure, en tenant compte du milieu fermé préconisé par les experts.</w:t>
      </w:r>
    </w:p>
    <w:p>
      <w:r>
        <w:rPr>
          <w:b/>
        </w:rPr>
        <w:t>E. 5</w:t>
      </w:r>
    </w:p>
    <w:p>
      <w:r>
        <w:t>La renonciation à l'expulsion est acquise à l'appelant (art. 391 al. 2 CPP).</w:t>
      </w:r>
    </w:p>
    <w:p>
      <w:r>
        <w:rPr>
          <w:b/>
        </w:rPr>
        <w:t>E. 6</w:t>
      </w:r>
    </w:p>
    <w:p>
      <w:r>
        <w:t>L'appelant n'obtient que partiellement gain de cause dans son appel et devrait en principe supporter une partie des frais de la procédure (art. 428 CPP). Cela étant, compte tenu de son irresponsabilité et de son impécuniosité, l'équité commande, par application analogique de l'art. 419 CPP, de laisser les frais de la procédure d'appel à la charge de l'État.</w:t>
      </w:r>
    </w:p>
    <w:p>
      <w:r>
        <w:rPr>
          <w:b/>
        </w:rPr>
        <w:t>E. 7</w:t>
      </w:r>
    </w:p>
    <w:p>
      <w:r>
        <w:t>La mesure thérapeutique institutionnelle étant confirmée, les conclusions en indemnisation (art. 429 CPP) seront rejetées, la détention subie devant être imputée sur la mesure privative de liberté (art. 51 CP ; ATF 141 IV 236 consid. 3).</w:t>
      </w:r>
    </w:p>
    <w:p>
      <w:r>
        <w:rPr>
          <w:b/>
        </w:rPr>
        <w:t>E. 8</w:t>
      </w:r>
    </w:p>
    <w:p>
      <w:r>
        <w:t>Les motifs ayant conduit la CPAR à prononcer, par ordonnance séparée du 11 juin 2015, la mise en détention de l'appelant pour des motifs de sûreté sont toujours d'actualité, de sorte que la mesure sera reconduite mutatis mutandis (ATF 139 IV 277 consid. 2.2 à 2.3).</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(let. c),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9.2</w:t>
      </w:r>
    </w:p>
    <w:p>
      <w:r>
        <w:t>Considéré globalement, l'état de frais produit par M e B______, défenseur d'office de A______, satisfait les exigences légales et jurisprudentielles régissant l'assistance judiciaire gratuite en matière pénale, à l'exception de la rédaction de la déclaration d'appel et d'un courrier à la Cour, ainsi que l'étude de deux rapports médicaux, prestations comprises dans le forfait. La durée de l'audience d'appel sera en revanche ajoutée, ainsi que deux déplacements au Palais de justice. En conclusion, la rémunération sera arrêtée à CHF 4'120.40 correspondant à 16 heures et 25 minutes d'activité au tarif de CHF 200.-/heure (CHF 3'283.30) plus la majoration forfaitaire de 10% (CHF 328.30), vu l'activité développée en première instance, deux vacations à CHF 100.- chacune (CHF 200.-) et l'équivalent de la TVA au taux de 8.1% en CHF 308.70.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