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P/27079/2022 vom 11. August 2025</w:t>
      </w:r>
    </w:p>
    <w:p>
      <w:r>
        <w:t>GE Cour de justice, 2025-08-11, FR</w:t>
      </w:r>
    </w:p>
    <w:p>
      <w:r>
        <w:rPr>
          <w:b/>
        </w:rPr>
        <w:t xml:space="preserve">Quelle: </w:t>
      </w:r>
      <w:r>
        <w:t>https://mcp.opencaselaw.ch/entscheid/ge_gerichte_P_27079_2022</w:t>
      </w:r>
    </w:p>
    <w:p>
      <w:r>
        <w:t>FR: GE_GERICHTE P/27079/2022 du 11 août 2025</w:t>
      </w:r>
    </w:p>
    <w:p>
      <w:r>
        <w:t>IT: GE_GERICHTE P/27079/2022 del 11 agosto 2025</w:t>
      </w:r>
    </w:p>
    <w:p>
      <w:pPr>
        <w:pStyle w:val="Heading2"/>
      </w:pPr>
      <w:r>
        <w:t>Regeste</w:t>
      </w:r>
    </w:p>
    <w:p>
      <w:r>
        <w:t>FIXATION DE LA PEINE;PEINE PÉCUNIAIRE | CP.47; CP.49; CP.34.al1; CP.34.al2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Les infractions de non-respect d'une interdiction de pénétrer dans une région déterminée (art. 119 al. 1 LEI) ainsi que de détention et de vente de stupéfiants (art. 19 al. 1 let. c et d LStup) sont passibles d'une peine privative de liberté de trois ans au plus ou d'une peine pécuniaire, tandis que celle d'entrée illégale (art. 115 al. 1 let. a LEI) l'est d'une peine privative de liberté d'un an au plus ou d'une peine pécuniaire. L'empêchement d'accomplir un acte officiel est puni par une peine pécuniaire de 30 jours-amende au plus (art. 286 al. 1 CP) et la consommation de stupéfiants (art. 19a ch. 1 LStup) d'une amende.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2.3</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w:t>
      </w:r>
    </w:p>
    <w:p>
      <w:r>
        <w:rPr>
          <w:b/>
        </w:rPr>
        <w:t>E. 2.3.2</w:t>
      </w:r>
    </w:p>
    <w:p>
      <w:r>
        <w:t>Le prononcé d'une peine pécuniaire est acquis à l'appelant en application de l'interdiction de la reformatio in pejus.</w:t>
      </w:r>
    </w:p>
    <w:p>
      <w:r>
        <w:rPr>
          <w:b/>
        </w:rPr>
        <w:t>E. 2.4</w:t>
      </w:r>
    </w:p>
    <w:p>
      <w:r>
        <w:t>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(art. 34 al. 2 1 ère phrase CP). Il peut exceptionnellement, si la situation personnelle et économique de l'auteur l'exige, être réduit jusqu'à 10 francs (art. 34 al. 2 CP). Le montant du jour-amende doit être fixé conformément au principe du revenu net, soit celui que l'auteur réalise en moyenne quotidiennement, quelle qu'en soit la source. La situation à prendre en compte est celle existant au moment où statue le juge du fait. Constituent des revenus, outre ceux d'une activité lucrative,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impôts courants, des cotisations à l'assurance-maladie et accidents obligatoires, ou encore des frais nécessaires d'acquisition du revenu. La loi mentionne aussi spécialement d'éventuelles obligations d'assistance, familiales en particulier. D'autres charges financières ne doivent en revanche pas être prises en considération. Il en va ainsi notamment des frais de logement et des intérêts hypothécaires.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6.1 et 6.4 ; 142 IV 315 consid. 5.3). Le Tribunal fédéral a fixé le montant minimal du jour-amende à CHF 10.-, même pour les condamnés bénéficiant d'un faible revenu (ATF 135 IV 180 consid. 1.4.2). Le juge dispose d'un large pouvoir d'appréciation lui permettant de procéder à une estimation du montant du jour-amende en fonction des informations dont il dispose (arrêt du Tribunal fédéral 6B_133/2018 du 27 juillet 2018 consid. 3.1).</w:t>
      </w:r>
    </w:p>
    <w:p>
      <w:r>
        <w:rPr>
          <w:b/>
        </w:rPr>
        <w:t>E. 2.5</w:t>
      </w:r>
    </w:p>
    <w:p>
      <w:r>
        <w:t>En l'espèce, la faute de l'appelant n'est pas négligeable. Il a délibérément choisi de s'affranchir des normes relatives à l'entrée sur le territoire suisse, alors qu'il savait faire l'objet d'une interdiction de pénétrer dans le canton de Genève depuis près de cinq mois, soit depuis le 6 janvier 2023. Il ne faut pas sous-estimer le préjudice pour la collectivité du séjour illégal, y compris au plan matériel, puisque cela mobilise constamment les nombreux acteurs appelés à le réprimer. La situation personnelle, administrative et financière de l'appelant n'est, en outre, pas aussi obscure qu'il l'allègue, étant précisé qu'il est au bénéfice d'un permis de séjour italien. Il déclare travailler en Italie pour un revenu mensuel de EUR 900.-, qui n'est pas le revenu minimal dans ce pays, et verser le prix d'une location pour un montant de EUR 250.-. Pour le surplus, il n'a pas d'enfant à charge ni ne paye d'impôt. Après avoir trouvé un travail vers Annecy, durant le temps passé dans la région genevoise, il est reparti vivre en Italie. Partant, le revenu précité peut être retenu comme étant le sien. Ses charges semblent inexistantes, à part le coût de la location qui lui est nécessaire pour se loger. La collaboration de l'appelant est bonne puisqu'il a admis les faits, ajoutant avoir " conscience d'avoir fauté et promettant de ne plus recommencer ". Sa prise de conscience évolue dans le bon sens. Il n'a aucun antécédent judiciaire et a manifesté sa volonté de s'écarter de la petite et moyenne délinquance. L'absence d'antécédent a un effet neutre sur la fixation de la peine.</w:t>
      </w:r>
    </w:p>
    <w:p>
      <w:r>
        <w:rPr>
          <w:b/>
        </w:rPr>
        <w:t>E. 2.5.1</w:t>
      </w:r>
    </w:p>
    <w:p>
      <w:r>
        <w:t>Les infractions les plus graves, soit les délits à l'art. 19 al. 1 let. c et d LStup, commis à deux reprises, emportent à elles seules une peine de 60 jours, augmentée de 30 jours (peine théorique : 60 jours) ; puis s'ajoute pour l'entrée illégale (art. 115 al. 1 let. a LEI), de 30 jours (peine théorique : 60 jours), pour la deuxième de 15 jours (peine théorique : 30 jours), pour la violation de pénétrer dans une région déterminée (art. 119 al. 1 LEI), de 30 jours (peine théorique : 60 jours), pour l'empêchement d'accomplir un acte officiel (art. 286 al. 1 CP) de 15 jours (peine théorique : 30 jours), soit un total de 180 jours-amende. Quant au montant du jour-amende, il est justifié de le porter à CHF 20.- par jour. Il est en effet exceptionnel de fixer le montant du jour-amende à CHF 10.-. L'appelant travaille pour un salaire non minimal en Italie et n'a aucune charge à part le montant de la chambre qu'il loue. Il se fait, en outre, aider, sur demande, par un membre de sa famille.</w:t>
      </w:r>
    </w:p>
    <w:p>
      <w:r>
        <w:rPr>
          <w:b/>
        </w:rPr>
        <w:t>E. 2.5.2</w:t>
      </w:r>
    </w:p>
    <w:p>
      <w:r>
        <w:t>Compte tenu de ce qui précède, la peine pécuniaire de 180 jours-amende, de même que la quotité de celle-ci, soit CHF 20.-, seront confirmées et l'appel entièrement rejeté.</w:t>
      </w:r>
    </w:p>
    <w:p>
      <w:r>
        <w:rPr>
          <w:b/>
        </w:rPr>
        <w:t>E. 3.1</w:t>
      </w:r>
    </w:p>
    <w:p>
      <w:r>
        <w:t>L'appelant, qui succombe, supportera les frais de la procédure d'appel envers l'État, y compris un émolument d'arrêt de CHF 1'000.- (art. 428 al. 1 CPP).</w:t>
      </w:r>
    </w:p>
    <w:p>
      <w:r>
        <w:rPr>
          <w:b/>
        </w:rPr>
        <w:t>E. 3.2</w:t>
      </w:r>
    </w:p>
    <w:p>
      <w:r>
        <w:t>Il n'y a pas motif à revoir la mise à sa charge des frais de la procédure préliminaire et de première instance (art. 426 al. 1 CPP).</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 4.1.2. L'activité consacrée aux conférences, audiences et autres actes de la procédure est majorée de 20% lorsque l'état de frais porte sur moins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Considéré globalement, l'état de frais produit par M e B______, défenseur d'office de A______, satisfait les exigences légales et jurisprudentielles régissant l'assistance judiciaire gratuite en matière pénale, excepté le temps consacré à la rédaction du mémoire d'appel qui sera réduit à une heure, durée suffisante pour cinq pages de discussions de faits, exposant les conclusions et enjeux de l'appel. La procédure était d'ailleurs déjà bien connue du conseil de l'appelant qui l'a assisté devant le premier juge. Sa rémunération sera partant arrêtée à CHF 778.30, correspondant à deux heures et 15 minutes d'activité au tarif de CHF 200.-/heure et une heure d'activité au tarif de CHF 150.-/heure, plus la majoration forfaitaire à 20% (CHF 120.-) et l'équivalent de la TVA au taux de 8,1% en CHF 58.30.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