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P/27073/2022 vom 23. Dezember 2022</w:t>
      </w:r>
    </w:p>
    <w:p>
      <w:r>
        <w:t>GE Cour de justice, 2022-12-23, FR</w:t>
      </w:r>
    </w:p>
    <w:p>
      <w:r>
        <w:rPr>
          <w:b/>
        </w:rPr>
        <w:t xml:space="preserve">Quelle: </w:t>
      </w:r>
      <w:r>
        <w:t>https://mcp.opencaselaw.ch/entscheid/ge_gerichte_P_27073_2022</w:t>
      </w:r>
    </w:p>
    <w:p>
      <w:r>
        <w:t>FR: GE_GERICHTE P/27073/2022 du 23 décembre 2022</w:t>
      </w:r>
    </w:p>
    <w:p>
      <w:r>
        <w:t>IT: GE_GERICHTE P/27073/2022 del 23 dicembre 2022</w:t>
      </w:r>
    </w:p>
    <w:p>
      <w:pPr>
        <w:pStyle w:val="Heading2"/>
      </w:pPr>
      <w:r>
        <w:t>Regeste</w:t>
      </w:r>
    </w:p>
    <w:p>
      <w:r>
        <w:t>DÉTENTION PROVISOIRE;PROPORTIONNALITÉ | CPP.221; CPP.197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conteste la gravité des charges. ![endif]&gt;![if&gt;</w:t>
      </w:r>
    </w:p>
    <w:p>
      <w:r>
        <w:rPr>
          <w:b/>
        </w:rPr>
        <w:t>E. 2.1</w:t>
      </w:r>
    </w:p>
    <w:p>
      <w:r>
        <w:t>À teneur de l'art. 221 al. 1 première phrase CPP, la détention provisoire ne peut être ordonnée que lorsque le prévenu est fortement soupçonné d'avoir commis un crime ou un délit.</w:t>
      </w:r>
    </w:p>
    <w:p>
      <w:r>
        <w:rPr>
          <w:b/>
        </w:rPr>
        <w:t>E. 2.2</w:t>
      </w:r>
    </w:p>
    <w:p>
      <w:r>
        <w:t>Le séjour illégal (art. 115 al. 1 let. b LEI), tout comme l'infraction prévue à l'art.148a al. 1 CP sont des délits (art. 10 al. 3 CP).</w:t>
      </w:r>
    </w:p>
    <w:p>
      <w:r>
        <w:rPr>
          <w:b/>
        </w:rPr>
        <w:t>E. 2.3</w:t>
      </w:r>
    </w:p>
    <w:p>
      <w:r>
        <w:t>En l'occurrence, le recourant est soupçonné d'avoir, durant 22 jours, séjourné sans droit en Suisse et bénéficié de prestations sociales en se faisant passer faussement pour un mineur, pour un montant de plus de CHF 6'000.- (hébergement et repas). Ces charges qui se fondent sur les informations des autorités françaises et les aveux du prévenu, sont suffisantes, ce qui n'est au demeurant pas contesté. Quoi qu'il en dise, elles sont également graves, étant souligné que les prestations obtenues dépassent largement la limite de CHF 3'000.- fixée par la Conférence des Procureurs de Suisse pour définir le cas de peu de gravité au sens de l'art. 148a al. 2 CP. Par conséquent, le grief est infondé.</w:t>
      </w:r>
    </w:p>
    <w:p>
      <w:r>
        <w:rPr>
          <w:b/>
        </w:rPr>
        <w:t>E. 3</w:t>
      </w:r>
    </w:p>
    <w:p>
      <w:r>
        <w:t>Le recourant ne consacre aucun développement aux risques de fuite et de réitération retenus, ni à d'éventuelles mesures de substitution. Il peut ainsi être renvoyé aux motifs retenus à ce sujet par le premier juge (ATF 123 I 31 consid. 2c p. 34; arrêt du Tribunal fédéral 1B_378/2019 du 19 août 2019 consid. 2 et les références).</w:t>
      </w:r>
    </w:p>
    <w:p>
      <w:r>
        <w:rPr>
          <w:b/>
        </w:rPr>
        <w:t>E. 4</w:t>
      </w:r>
    </w:p>
    <w:p>
      <w:r>
        <w:t>La détention provisoire ordonnée pour une durée de six semaines respecte le principe de la proportionnalité (art. 197 al. 1 et 212 al. 3 CPP), au vu de la peine concrètement encourue si le recourant devait être condamné pour tous les faits dont il est prévenu.</w:t>
      </w:r>
    </w:p>
    <w:p>
      <w:r>
        <w:rPr>
          <w:b/>
        </w:rPr>
        <w:t>E. 5</w:t>
      </w:r>
    </w:p>
    <w:p>
      <w:r>
        <w:t>Le recours doit être rejeté.</w:t>
      </w:r>
    </w:p>
    <w:p>
      <w:r>
        <w:rPr>
          <w:b/>
        </w:rPr>
        <w:t>E. 6</w:t>
      </w:r>
    </w:p>
    <w:p>
      <w:r>
        <w:t>Le recourant, qui succombe, supportera les frais envers l'État, arrêtés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Le recourant a agi en personne, son avocate d'office étant intervenue à la demande de la Chambre de céans. Son indemnisation pour la présente instance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