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P/27059/2022 vom 28. Februar 2024</w:t>
      </w:r>
    </w:p>
    <w:p>
      <w:r>
        <w:t>GE Cour de justice, 2024-02-28, FR</w:t>
      </w:r>
    </w:p>
    <w:p>
      <w:r>
        <w:rPr>
          <w:b/>
        </w:rPr>
        <w:t xml:space="preserve">Quelle: </w:t>
      </w:r>
      <w:r>
        <w:t>https://mcp.opencaselaw.ch/entscheid/ge_gerichte_P_27059_2022</w:t>
      </w:r>
    </w:p>
    <w:p>
      <w:r>
        <w:t>FR: GE_GERICHTE P/27059/2022 du 28 février 2024</w:t>
      </w:r>
    </w:p>
    <w:p>
      <w:r>
        <w:t>IT: GE_GERICHTE P/27059/2022 del 28 febbraio 2024</w:t>
      </w:r>
    </w:p>
    <w:p>
      <w:pPr>
        <w:pStyle w:val="Heading2"/>
      </w:pPr>
      <w:r>
        <w:t>Regeste</w:t>
      </w:r>
    </w:p>
    <w:p>
      <w:r>
        <w:t>ÉTAT DÉFECTUEUX DU VÉHICULE | LCR.93.ch2; OCR.57.al3</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6B_360/2017 du 9 octobre 2017 consid. 1.3 et les références). En outre, aucune allégation ou preuve nouvelle ne peut être produite devant l'instance d'appel (art. 398 al. 4, 2 ème phrase CPP). Il s'agit là d'une exception au principe du plein pouvoir de cognition de l'autorité de deuxième instance qui conduit à qualifier d'appel "restreint" cette voie de droit (arrêt du Tribunal fédéral 1B_768/2012 du 15 janvier 2013 consid. 2.1). Sont nouveaux, au sens de cette disposition, les faits et les preuves qui n'ont pas été présentés lors de la procédure de première instance. Il en va de même des preuves soumises en première instance mais rejetées. L'appelant peut uniquement faire valoir, dans le cadre de la procédure d'appel, que les réquisitions de preuves formulées devant le juge de première instance ont été rejetées sur la base d'une appréciation anticipée arbitraire (arrêts du Tribunal fédéral 6B_283/2020 du 2 novembre 2020 consid. 2.2 ; 6B_764/2016 du 24 novembre 2016 consid. 2.3.2 ; 6B_362/2012 , précité, consid. 8.4.1 et les références). En revanche, la partie appelante peut valablement renouveler en appel les réquisitions de preuve formulées devant le premier juge et qui ont été rejetées (arrêt du Tribunal fédéral 6B_202/2015 du 28 octobre 2015 consid. 2.2 et les références).</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w:t>
      </w:r>
    </w:p>
    <w:p>
      <w:r>
        <w:rPr>
          <w:b/>
        </w:rPr>
        <w:t>E. 2.2</w:t>
      </w:r>
    </w:p>
    <w:p>
      <w:r>
        <w:t>En l'espèce, l'appelant invoque une violation du droit d'être entendu en lien avec la présomption d'innocence. Or, il a pu s'exprimer de façon abondante tant par écrit qu'oralement devant le TP, de sorte que son argument porte à faux. L'instruction n'a en outre pas été effectuée uniquement à charge comme il le soutient, mais les faits ont été établis sur la base de ses déclarations (admission des faits) et d'un rapport de contravention rédigé par l'agent verbalisateur, lequel a maintenu sa position après opposition. Toute violation du principe in dubio pro reo ou du droit d'être entendu doit ainsi être écartée.</w:t>
      </w:r>
    </w:p>
    <w:p>
      <w:r>
        <w:rPr>
          <w:b/>
        </w:rPr>
        <w:t>E. 2.4</w:t>
      </w:r>
    </w:p>
    <w:p>
      <w:r>
        <w:t>En l'espèce, l'appelant ne conteste pas, à juste titre, que le phare gauche était défectueux lors du contrôle de police. L’allégation relative à sa belle-fille est nouvelle et, partant irrecevable (art. 398 al. 4 CPP). Au surplus, l’appelant a fait valoir devant le premier juge que lorsqu'il avait quitté son domicile vers 20h, les deux feux de croisement fonctionnaient, tout en affirmant, de façon contradictoire, ne pas s’en être assuré avant de monter dans le véhicule. Or, il lui appartenait de vérifier que le véhicule était conforme aux normes avant de démarrer. L'argument selon lequel le défaut aurait pu intervenir en cours de route n'est pas crédible. En effet, si le policier a pu remarquer, malgré le fait qu'il s'agisse d'une journée d'été où le soleil se couche tard, qu'un phare était éteint, il est invraisemblable que le prévenu n'ait pas remarqué que tout un faisceau de la route devant lui n'était tout d'un coup plus illuminé. Le prévenu ne soutient enfin pas qu'il aurait pris le véhicule afin de se rendre dans un garage pour le réparer, mais qu'il était en route pour aller chercher son épouse, excluant toute application de l'art. 57 al. 3 OCR. La question de savoir si un éclairage défectueux, alors qu’il est obligatoire pour des raisons de sécurité (art. 30 al. 2 OCR), doit être qualifié de peu grave et peut ainsi bénéficier de l’exemption de cette disposition souffre ainsi de demeurer indécise. En conduisant le véhicule, sans vérifier préalablement s'il était en bon état de fonctionnement, le prévenu n'a pas prêté toute l’attention commandée par les circonstances et a ainsi fait preuve de négligence, circonstance réprimée par l'art. 93 al. 2 let. a et 100 ch. 1 LCR. Partant, c'est à raison que le premier juge a reconnu l'appelant coupable de conduite d'un véhicule défectueux (art. 93 al. 2 LCR).</w:t>
      </w:r>
    </w:p>
    <w:p>
      <w:r>
        <w:rPr>
          <w:b/>
        </w:rPr>
        <w:t>E. 3</w:t>
      </w:r>
    </w:p>
    <w:p>
      <w:r>
        <w:t>3.1.1. L'art. 9 CPP consacre la maxime d'accusation, laquelle découle également des art. 29 al. 2 de la Constitution fédérale de la Confédération suisse (Cst. ;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 5 février 2019 consid. 1.1). Un acte d'accusation qui ne décrit aucunement les faits reprochés, ni les éléments constitutifs des infractions envisagées, mais se borne à reproduire des passages du texte légal, ne satisfait pas aux réquisits de l'art. 325 al. 1 let. f CPP (ATF 140 IV 188 consid. 1.6 ; arrêts du Tribunal fédéral 6B_899/2010 du 10 janvier 2011 consid. 2.5 et 6B_670/2020 du 14 décembre 2020 consid. 1.4).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 du Tribunal fédéral 6B_461/2018 du 24 janvier 2019 consid. 5.1.) 3.1.2. Lorsque par la voie de l'opposition, l'affaire est transmise au tribunal de première instance, l'ordonnance pénale du ministère public tient lieu d'acte d'accusation (art. 356 al. 1 CPP). À Genève, le législateur a fait usage de la faculté conférée par l'art. 17 al. 1 CPP pour déléguer au SDC la compétence de poursuivre et juger les contraventions (art. 11 al. 1 de la loi d'application du code pénale [LaCP]. La procédure pénale en matière de contraventions est régie, par analogie, par les dispositions applicables à l’ordonnance pénale (Y. JEANNERET / A. KUHN / C. PERRIER DEPEURSINGE (éds), Commentaire romand : Code de procédure pénale suisse, 2 ème éd., Bâle 2019, ad art. 17 CPP, no 5). Dès lors, une ordonnance pénale du SDC, à l'instar d'une ordonnance pénale du MP, peut être portée devant le TP par la voie de l'opposition, et tient alors lieu d'acte d'accusation.</w:t>
      </w:r>
    </w:p>
    <w:p>
      <w:r>
        <w:rPr>
          <w:b/>
        </w:rPr>
        <w:t>E. 3.2</w:t>
      </w:r>
    </w:p>
    <w:p>
      <w:r>
        <w:t>En l'espèce, l'ordonnance pénale indique le lieu, l'heure, la date de l'infraction, le comportement visé ainsi que les dispositions légales pertinentes. Le prévenu a d'ailleurs pu comprendre ce qui lui était reproché, puisqu'il a fait opposition en se rapportant avec détail à l'infraction visée par l'ordonnance pénale. L'ordonnance pénale rendue par le SDC est dès lors valable.</w:t>
      </w:r>
    </w:p>
    <w:p>
      <w:r>
        <w:rPr>
          <w:b/>
        </w:rPr>
        <w:t>E. 4</w:t>
      </w:r>
    </w:p>
    <w:p>
      <w:r>
        <w:t>4.1. L'art. 93 al. 2 LCR sanctionne quiconque conduit un véhicule dont il sait ou devrait savoir s’il avait prêté toute l’attention commandée par les circonstances qu’il ne répond pas aux prescriptions (let. a), soit un état défectueux du véhicule. Cette disposition suppose que le véhicule ne réponde pas aux prescriptions. Le texte de l'incrimination se réfère ici à la seconde exigence découlant de l'article 29 LCR, à savoir qu'un véhicule ne peut circuler sur la voie publique que s'il est conforme aux prescriptions. Il suffit donc que le véhicule ne présente pas toutes les caractéristiques requises par les prescriptions en la matière pour que l'infraction soit consommée, indépendamment de savoir si un danger ou un risque d'accident résulte de la non-conformité du véhicule. Il s'agit donc d'une infraction de mise en danger abstraite (JEANNERET Yvan, Les dispositions pénales de la Loi sur la circulation routière, Berne 2007, n. 55 ad art. 93 LCR). Conformément à l'art. 109 al. 1 de l'Ordonnance concernant les exigences techniques requises pour les véhicules routiers (OETV), les feux et catadioptres suivants doivent être fixés à demeure : à l’avant : deux feux de route, deux feux de croisement et deux feux de position (let. a) et à l’arrière : deux feux arrière, deux catadioptres, deux feux-stop, ainsi qu’un éclairage pour la plaque de contrôle (let. b). Depuis le 1 er janvier 2014, l’utilisation des feux de circulation diurne ou des feux de croisement est obligatoire pour les véhicules automobiles (art. 30 al. 2 OCR).</w:t>
      </w:r>
    </w:p>
    <w:p>
      <w:r>
        <w:rPr>
          <w:b/>
        </w:rPr>
        <w:t>E. 4.2</w:t>
      </w:r>
    </w:p>
    <w:p>
      <w:r>
        <w:t>Lorsque des défectuosités peu graves apparaissent en cours de route, le conducteur pourra poursuivre sa course en prenant les précautions nécessaires ; les réparations seront effectuées sans retard (art. 57 al. 3 OCR). Les défectuosités peu graves sont celles qui n'affectent pas l'état de sécurité du véhicule et qui permettent néanmoins de respecter les règles de circulation. Cette défectuosité de faible gravité doit survenir " en cours de route " et la poursuite de la course doit permettre de retirer le véhicule de la circulation, de rentrer chez soi ou de l'amener au garage pour y effectuer les réparations (JEANNERET Yvan, op. cit., n. 89 ad art. 93).</w:t>
      </w:r>
    </w:p>
    <w:p>
      <w:r>
        <w:rPr>
          <w:b/>
        </w:rPr>
        <w:t>E. 5</w:t>
      </w:r>
    </w:p>
    <w:p>
      <w:r>
        <w:t>5.1.1. L'auteur d'une infraction à l'art. 93 al. 2 LCR est passible d'une amende. 5.1.2.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 119 IV 330 consid. 3). La situation économique déterminante est celle de l'auteur au moment où l'amende est prononcée (arrêt du Tribunal fédéral 6B_547/2012 du 26 mars 2013 consid. 3.4 et les références citées). Le service des contraventions applique un barème édicté par le MP, qui prescrit que le montant de l'amende est de CHF 200.- en cas de conduite d'un véhicule automobile avec feu(x) de croisement non conforme(s), défectueux ou manquant(s) (code E01.B. de l’annexe à la Directive D-7 du MP). Un jour de peine privative de liberté de substitution (art. 106 al. 2 CP) correspond schématiquement à CHF 100.- d'amende (R. ROTH / L. MOREILLON (éds), Code pénal I : art. 1-100 CP, Bâle 2009, n. 19 art. 106).</w:t>
      </w:r>
    </w:p>
    <w:p>
      <w:r>
        <w:rPr>
          <w:b/>
        </w:rPr>
        <w:t>E. 5.2</w:t>
      </w:r>
    </w:p>
    <w:p>
      <w:r>
        <w:t>L'appelant a circulé durant une demi-heure avec un véhicule qui n'était pas conforme aux règles de la circulation, sans pour autant présenter un danger important pour la sécurité routière. Sa collaboration n'a cependant pas été bonne, puisqu'il a reconnu les faits, mais a tenté de justifier son comportement par des excuses peu crédibles. Sa situation personnelle ne justifie pas ses agissements.</w:t>
      </w:r>
    </w:p>
    <w:p>
      <w:r>
        <w:rPr>
          <w:b/>
        </w:rPr>
        <w:t>E. 5.3</w:t>
      </w:r>
    </w:p>
    <w:p>
      <w:r>
        <w:t>Au regard de ce qui précède et tout bien pesé, dans un souci également d’égalité de traitement entre justiciables, l'amende de CHF 200.- et la peine de substitution de deux jours apparaissent proportionnelles et adéquates. Par conséquent, le jugement entrepris sera confirmé dans son intégralité.</w:t>
      </w:r>
    </w:p>
    <w:p>
      <w:r>
        <w:rPr>
          <w:b/>
        </w:rPr>
        <w:t>E. 6.1</w:t>
      </w:r>
    </w:p>
    <w:p>
      <w:r>
        <w:t>L'appelant, qui succombe, supportera les frais de la procédure envers l'État (art. 428 CPP), comprenant un émolument de jugement de CHF 1'000.-.</w:t>
      </w:r>
    </w:p>
    <w:p>
      <w:r>
        <w:rPr>
          <w:b/>
        </w:rPr>
        <w:t>E. 6.2</w:t>
      </w:r>
    </w:p>
    <w:p>
      <w:r>
        <w:t>Les frais arrêtés en première instance seront confirmés.</w:t>
      </w:r>
    </w:p>
    <w:p>
      <w:r>
        <w:rPr>
          <w:b/>
        </w:rPr>
        <w:t>E. 7</w:t>
      </w:r>
    </w:p>
    <w:p>
      <w:r>
        <w:t>Par identité de motifs, l'appelant ne saurait prétendre à une quelconque indemnité fondée sur l'art. 429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