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P/26997/2022 vom 7. Dezember 2023</w:t>
      </w:r>
    </w:p>
    <w:p>
      <w:r>
        <w:t>GE Cour de justice, 2023-12-07, FR</w:t>
      </w:r>
    </w:p>
    <w:p>
      <w:r>
        <w:rPr>
          <w:b/>
        </w:rPr>
        <w:t xml:space="preserve">Quelle: </w:t>
      </w:r>
      <w:r>
        <w:t>https://mcp.opencaselaw.ch/entscheid/ge_gerichte_P_26997_2022</w:t>
      </w:r>
    </w:p>
    <w:p>
      <w:r>
        <w:t>FR: GE_GERICHTE P/26997/2022 du 7 décembre 2023</w:t>
      </w:r>
    </w:p>
    <w:p>
      <w:r>
        <w:t>IT: GE_GERICHTE P/26997/2022 del 7 dicembre 2023</w:t>
      </w:r>
    </w:p>
    <w:p>
      <w:pPr>
        <w:pStyle w:val="Heading2"/>
      </w:pPr>
      <w:r>
        <w:t>Erwägungen</w:t>
      </w:r>
    </w:p>
    <w:p>
      <w:r>
        <w:rPr>
          <w:b/>
        </w:rPr>
        <w:t>E. 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sur la recevabilité de l'appel lorsque la direction de la procédure fait valoir que l'annonce ou la déclaration d'appel est tardive ou irrecevable (art. 403 al. 1 let. a CPP).</w:t>
      </w:r>
    </w:p>
    <w:p>
      <w:r>
        <w:rPr>
          <w:b/>
        </w:rPr>
        <w:t>E. 2</w:t>
      </w:r>
    </w:p>
    <w:p>
      <w:r>
        <w:t>En l’espèce, il est constant que l’appelant n’a formé aucune déclaration d’appel dans le délai de 20 jours dès la notification du jugement motivé. L’appel doit partant être déclaré irrecevable.</w:t>
      </w:r>
    </w:p>
    <w:p>
      <w:r>
        <w:rPr>
          <w:b/>
        </w:rPr>
        <w:t>E. 3</w:t>
      </w:r>
    </w:p>
    <w:p>
      <w:r>
        <w:t>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