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P/26981/2022 vom 13. September 2023</w:t>
      </w:r>
    </w:p>
    <w:p>
      <w:r>
        <w:t>GE Cour de justice, 2023-09-13, FR</w:t>
      </w:r>
    </w:p>
    <w:p>
      <w:r>
        <w:rPr>
          <w:b/>
        </w:rPr>
        <w:t xml:space="preserve">Quelle: </w:t>
      </w:r>
      <w:r>
        <w:t>https://mcp.opencaselaw.ch/entscheid/ge_gerichte_P_26981_2022</w:t>
      </w:r>
    </w:p>
    <w:p>
      <w:r>
        <w:t>FR: GE_GERICHTE P/26981/2022 du 13 septembre 2023</w:t>
      </w:r>
    </w:p>
    <w:p>
      <w:r>
        <w:t>IT: GE_GERICHTE P/26981/2022 del 13 settembre 2023</w:t>
      </w:r>
    </w:p>
    <w:p>
      <w:pPr>
        <w:pStyle w:val="Heading2"/>
      </w:pPr>
      <w:r>
        <w:t>Regeste</w:t>
      </w:r>
    </w:p>
    <w:p>
      <w:r>
        <w:t>SÉQUESTRE(MESURE PROVISIONNELLE);CONFISCATION(DROIT PÉNAL);FAUX DANS LES CERTIFICATS | CP.252; CP.64</w:t>
      </w:r>
    </w:p>
    <w:p>
      <w:pPr>
        <w:pStyle w:val="Heading2"/>
      </w:pPr>
      <w:r>
        <w:t>Erwägungen</w:t>
      </w:r>
    </w:p>
    <w:p>
      <w:r>
        <w:rPr>
          <w:b/>
        </w:rPr>
        <w:t>E. 4</w:t>
      </w:r>
    </w:p>
    <w:p>
      <w:r>
        <w:t>Le recourant reproche au Ministère public d'avoir ordonné la confiscation de son permis de conduire.![endif]&gt;![if&gt;</w:t>
      </w:r>
    </w:p>
    <w:p>
      <w:r>
        <w:rPr>
          <w:b/>
        </w:rPr>
        <w:t>E. 4.1</w:t>
      </w:r>
    </w:p>
    <w:p>
      <w:r>
        <w:t>Commet un faux dans les certificats (art.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Le permis de conduire fait partie des pièces de légitimation (ATF 98 IV 55 consid. 2).</w:t>
      </w:r>
    </w:p>
    <w:p>
      <w:r>
        <w:rPr>
          <w:b/>
        </w:rPr>
        <w:t>E. 4.2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 article prévoit ainsi la confiscation des objets qui sont le produit d'une infraction ( producta sceleris ) et des objets qui ont servi ou devaient servir à la commission d'une infraction (instrumenta sceleris ; arrêt du Tribunal fédéral 6B_1277/2018 du 21 février 2019 consid. 3.1).</w:t>
      </w:r>
    </w:p>
    <w:p>
      <w:r>
        <w:rPr>
          <w:b/>
        </w:rPr>
        <w:t>E. 4.3</w:t>
      </w:r>
    </w:p>
    <w:p>
      <w:r>
        <w:t>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féd.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(ATF 137 IV 249 consid. 4.5; arrêt du Tribunal fédéral 6B_35/2017 du 26 février 2018 consid. 9.1).</w:t>
      </w:r>
    </w:p>
    <w:p>
      <w:r>
        <w:rPr>
          <w:b/>
        </w:rPr>
        <w:t>E. 4.4</w:t>
      </w:r>
    </w:p>
    <w:p>
      <w:r>
        <w:t>En l'espèce, le document litigieux est considéré comme une pièce de légitimation. Il ressort des rapports de la BPTS que divers éléments – modification de dates par grattage et utilisation d'un stylo rouge différent – du permis de conduire du recourant ne correspondent pas au modèle de référence, ce qui a conduit l'autorité précédente à conclure à une contrefaçon. Si le recourant a déclaré ignorer ces modifications, il ne peut être suivi lorsqu'il allègue que l'inauthenticité du document ne reposerait sur aucun élément objectif, les constatations faites étant objectives. D'ailleurs, il n'apporte aucun élément permettant d'établir son authenticité. En effet, il fait grand cas de l'attestation des autorités afghanes selon laquelle la licence portant le n° 1______ avait été écrite par le Service de la circulation de C______. Dans la mesure où l'on ignore la demande qui a été faite à ces autorités, qui a conduit à cette attestation, et le document qui leur aurait été soumis pour ce faire – le permis analysé étant un duplicata et non un original – on ne peut en déduire, comme le fait le recourant, qu'elles se seraient prononcées sur l'authenticité et la validité des modifications effectuées sur le document. Au regard de la législation suisse, le document, qui a volontairement été modifié – même si l'auteur n'est pas identifié – remplit les conditions d'un faux dans les certificats. Ce constat rend sans objet les critiques relatives à la violation de la souveraineté de l'État étranger. Au regard de ce qui précède, le document litigieux doit être considéré comme un produit de l'infraction dénoncée. En outre, le recourant entend utiliser le document d'identité falsifié pour se procurer, sur le territoire suisse, un permis de conduire authentique, ce qui compromet l'ordre public suisse. Le juge devait donc ordonner sa confiscation (ATF 130 IV 143 consid. 3.3.1).</w:t>
      </w:r>
    </w:p>
    <w:p>
      <w:r>
        <w:rPr>
          <w:b/>
        </w:rPr>
        <w:t>E. 5</w:t>
      </w:r>
    </w:p>
    <w:p>
      <w:r>
        <w:t>Justifiée, l'ordonnance querellée sera donc confirmée.![endif]&gt;![if&gt;</w:t>
      </w:r>
    </w:p>
    <w:p>
      <w:r>
        <w:rPr>
          <w:b/>
        </w:rPr>
        <w:t>E. 6</w:t>
      </w:r>
    </w:p>
    <w:p>
      <w:r>
        <w:t>Le recourant sollicite l’octroi de l’assistance judiciaire pour la procédure de recours. ![endif]&gt;![if&gt; En l'occurrence, le recourant, qui s'est déjà vu refuser le bénéfice de l'assistance judicaire, a été libéré de toute poursuite. Pour les motifs exposés plus haut, le recours était voué à l'échec, si bien que les conditions pour l'octroi de l'assistance judiciaire ne sont pas remplies. La demande sera, partant, rejetée.</w:t>
      </w:r>
    </w:p>
    <w:p>
      <w:r>
        <w:rPr>
          <w:b/>
        </w:rPr>
        <w:t>E. 7</w:t>
      </w:r>
    </w:p>
    <w:p>
      <w:r>
        <w:t>Le recourant, qui succombe, supportera les frais envers l'État, qui comprendront un émolument de CHF 800.- (art. 428 al. 1 CPP et 13 al. 1 du Règlement fixant le tarif des frais en matière pénale, RTFMP ; E 4 10.03).![endif]&gt;![if&gt;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