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P/2695/2014 vom 2. März 2014</w:t>
      </w:r>
    </w:p>
    <w:p>
      <w:r>
        <w:t>GE Cour de justice, 2014-03-02, FR</w:t>
      </w:r>
    </w:p>
    <w:p>
      <w:r>
        <w:rPr>
          <w:b/>
        </w:rPr>
        <w:t xml:space="preserve">Quelle: </w:t>
      </w:r>
      <w:r>
        <w:t>https://mcp.opencaselaw.ch/entscheid/ge_gerichte_P_2695_2014</w:t>
      </w:r>
    </w:p>
    <w:p>
      <w:r>
        <w:t>FR: GE_GERICHTE P/2695/2014 du 2 mars 2014</w:t>
      </w:r>
    </w:p>
    <w:p>
      <w:r>
        <w:t>IT: GE_GERICHTE P/2695/2014 del 2 marzo 2014</w:t>
      </w:r>
    </w:p>
    <w:p>
      <w:pPr>
        <w:pStyle w:val="Heading2"/>
      </w:pPr>
      <w:r>
        <w:t>Regeste</w:t>
      </w:r>
    </w:p>
    <w:p>
      <w:r>
        <w:t>RÉVISION(DÉCISION); CONDITION DE RECEVABILITÉ | CPP.410.1.A; CPP.412.2</w:t>
      </w:r>
    </w:p>
    <w:p>
      <w:pPr>
        <w:pStyle w:val="Heading2"/>
      </w:pPr>
      <w:r>
        <w:t>Erwägungen</w:t>
      </w:r>
    </w:p>
    <w:p>
      <w:r>
        <w:rPr>
          <w:b/>
        </w:rPr>
        <w:t>E. 1</w:t>
      </w:r>
    </w:p>
    <w:p>
      <w:r>
        <w:t>La demande de révision a été formée par devant l’autorité compétente et selon la forme prévue par la loi, n'étant en outre pas soumise à un délai particulier au vu du motif invoqué (art. 411 al. 1 et 2 dernière phrase CPP).![endif]&gt;![if&gt;</w:t>
      </w:r>
    </w:p>
    <w:p>
      <w:r>
        <w:rPr>
          <w:b/>
        </w:rPr>
        <w:t>E. 2.1</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![endif]&gt;![if&gt; L'abus de droit est toutefois réservé, car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(cf à ce sujet ATF 130 IV 72 consid. 2.2. p. 74 et arrêts du Tribunal fédéral 6B_415/2012 du 14 décembre 2012 consid. 2.3 et 6B_942/2010 du 7 novembre 2011 consid. 2.2.1).</w:t>
      </w:r>
    </w:p>
    <w:p>
      <w:r>
        <w:rPr>
          <w:b/>
        </w:rPr>
        <w:t>E. 2.2</w:t>
      </w:r>
    </w:p>
    <w:p>
      <w:r>
        <w:t>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 (G. PIQUEREZ / A. MACALUSO, Procédure pénale suisse, 3ème édition, Zurich 2011, n. 2108). L'examen préalable sert avant tout à constater si les motifs invoqués à l'appui de la demande en révision sont vraisemblables (Message relatif à l'unification du droit de la procédure pénale (CPP) du 21 décembre 2005, FF 2006 1057 ss notamment 1305 ad ancien art. 419 - actuel 412 CPP ; A. DONATSCH / T. HANSJAKOB / V. LIEBER (éds) , Kommentar zur Schweizerischen Strafprozess-ordnung (StPO) , Zurich 2010, n. 1 art. 412 CPP). La procédure de non-entrée en matière de l’art. 412 al. 2 CPP est en principe réservée à des vices de nature formelle (cf. M. NIGGLI / M. HEER / H. WIPRÄCHTIGER, Schweizerische Strafprozessordnung / Schweizerische Jugendstrafprozessordnung ,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 Zurich 2009, n. 1 ad art. 412 CPP ; A. KUHN / Y. JEANNERET (éds), Commentaire romand : Code de procédure pénale suisse , Bâle 2011, n. 3 ad art. 412 CPP). Le code de procédure pénale suisse ne précise pas si, dans ce cas, il convient de consulter préalablement les parties ; une prise de position de leur part n’apparaît pas nécessaire, mais peut être souhaitable dans les cas douteux (arrêts du Tribunal fédéral 6B_415/2012 du 14 décembre 2012 consid. 1.1 et 6B_310/2012 du 20 juin 2011 consid. 1.6 = SJ 2012 I 392).</w:t>
      </w:r>
    </w:p>
    <w:p>
      <w:r>
        <w:rPr>
          <w:b/>
        </w:rPr>
        <w:t>E. 2.3</w:t>
      </w:r>
    </w:p>
    <w:p>
      <w:r>
        <w:t>Comme cela résulte du texte même de l'art. 410 CPP,la voie de la révision n'est ouverte qu'à l'encontre d'une décision portant sur le fond d'une affaire et non pas contre celles qui sont d'ordre purement procédural (G. PIQUEREZ / A. MACALUSO, op. cit., n. 2072), à l'instar de l'arrêt contesté. Les faits ou moyens de preuve visés par l'al. 1 de cette disposition doivent être susceptibles de corriger des erreurs de fait qui sont, par exemple, à l'origine du verdict de culpabilité et/ou du prononcé d'une peine ou d'une mesure. Ainsi, la demande de révision doit être déclarée d'emblée irrecevable en application de l'art. 412 al. 2 CPP, puisque le moyen invoqué ne se rapporte pas à des constatations de fait figurant dans les ordonnances pénales rendues à l'encontre du recourant, mais est destiné à justifier son absence lors de l'audience du 7 août 2013 et à éviter les conséquences qui en découlent. Au demeurant, outre le fait que le requérant aurait eu la faculté d'invoquer ce moyen dans le cadre d'un recours au Tribunal fédéral formé contre l'arrêt de la Chambre des recours contesté, il semble douteux qu'il aurait été de nature à modifier la décision prise dans la mesure où le prévenu devait s'attendre à être convoqué par le Tribunal de police, de sorte qu'il lui appartenait d'informer cette autorité ou, à tout le moins, son conseil, du lieu où il se trouvait incarcéré de façon à pouvoir y être convoqué, étant au surplus réputé avoir eu connaissance du mandat de comparution notifié par voie édictale.</w:t>
      </w:r>
    </w:p>
    <w:p>
      <w:r>
        <w:rPr>
          <w:b/>
        </w:rPr>
        <w:t>E. 3</w:t>
      </w:r>
    </w:p>
    <w:p>
      <w:r>
        <w:t>Le requérant, qui succombe, supportera les frais de la procédure envers l'État, lesquels comprennent un émolument de CHF 600.- (art. 428 al. 1 CPP et 14 al. 1 let. e du Règlement fixant le tarif des frais en matière pénale du 22 décembre 2010, RTFMP ; RS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