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P/2676/2018 vom 16. Januar 2020</w:t>
      </w:r>
    </w:p>
    <w:p>
      <w:r>
        <w:t>GE Cour de justice, 2020-01-16, FR</w:t>
      </w:r>
    </w:p>
    <w:p>
      <w:r>
        <w:rPr>
          <w:b/>
        </w:rPr>
        <w:t xml:space="preserve">Quelle: </w:t>
      </w:r>
      <w:r>
        <w:t>https://mcp.opencaselaw.ch/entscheid/ge_gerichte_P_2676_2018</w:t>
      </w:r>
    </w:p>
    <w:p>
      <w:r>
        <w:t>FR: GE_GERICHTE P/2676/2018 du 16 janvier 2020</w:t>
      </w:r>
    </w:p>
    <w:p>
      <w:r>
        <w:t>IT: GE_GERICHTE P/2676/2018 del 16 gennaio 2020</w:t>
      </w:r>
    </w:p>
    <w:p>
      <w:pPr>
        <w:pStyle w:val="Heading2"/>
      </w:pPr>
      <w:r>
        <w:t>Regeste</w:t>
      </w:r>
    </w:p>
    <w:p>
      <w:r>
        <w:t>FIXATION DE LA PEINE;PEINE COMPLÉMENTAIRE | CP.47; CP.49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L'appelant conclut au prononcé d'une peine pécuniaire clémente. 2.1.1. À teneur de l'art. 115 al. 1 LEI, sera puni d'une peine privative de liberté d'un an au plus ou d'une peine pécuniaire, quiconque contrevient aux dispositions sur l'entrée en Suisse prévues à l'art. 5 LEI (let. a), y séjourne illégalement (let. b), exerce une activité lucrative sans autorisation (let. c) ou entre en Suisse ou quitte la Suisse sans passer par un poste frontière autorisé (let. d).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2.1.3. Selon l'art. 34 al. 1 CP, sauf disposition contraire, la peine pécuniaire est de trois jours-amende au moins et ne peut excéder 180 jours-amende. Le juge fixe leur nombre en fonction de la culpabilité de l'auteur. 2.1.4. Selon l'art. 41 al. 1 CP, le juge peut prononcer une peine privative de liberté à la place d'une peine pécuniaire si une peine privative de liberté paraît justifiée pour détourner l'auteur d'autres crimes ou délits (a) ou s'il y a lieu de craindre qu'une peine pécuniaire ne puisse pas être exécutée (b). Pour être à même d'émettre un pronostic à cet égard, le juge doit d'abord fixer dans les grandes lignes la peine pécuniaire susceptible d'être prononcée. Le nombre de jours-amende et leur montant unitaire doivent être conformes à l'art. 34 CP. Lorsque le pronostic s'avère défavorable, le prononcé d'une peine privative de liberté devrait s'imposer ( par analogie avec l'ancien droit s'agissant du choix de la peine : ATF 134 IV 60 ) (M. DUPUIS / L. MOREILLON / C. PIGUET / S. BERGER / M. MAZOU / V. RODIGARI, Petit commentaire du Code pénal , 2 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 par une autorité administrative (M. DUPUIS / L. MOREILLON / C. PIGUET / S. BERGER / M. MAZOU / V. RODIGARI, op. cit. , n. 3, ad art. 41(1.1.2018)). 2.1.5 .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2.1.6.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2.1.7.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2.1.8.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w:t>
      </w:r>
    </w:p>
    <w:p>
      <w:r>
        <w:rPr>
          <w:b/>
        </w:rPr>
        <w:t>E. 2.2</w:t>
      </w:r>
    </w:p>
    <w:p>
      <w:r>
        <w:t>En l'espèce, la faute de l'appelant ne saurait être minimisée. Elle est d'importance en regard des biens juridiques auxquels il a porté atteinte. Pour la troisième fois, nonobstant une interdiction d'entrée en Suisse, l'appelant a, sur une durée proche d'une année, contrevenu aux dispositions légales sur le séjour. Parallèlement, il a, sur la même période, violé les dispositions en matière d'autorisation de travail pour les étrangers. Il a manifestement agi en privilégiant ses seuls intérêts personnels, soit pour un motif égoïste. Bien que toute sa famille réside en Guinée, il s'est obstiné à ne pas y retourner étant, en définitive, le seul responsable de son statut précaire. Il n'a évoqué aucun élément qui permette de comprendre, sinon justifier, un tel comportement et alléger sa faute. S'il n'a pas contesté les infractions qui lui étaient reprochées, la collaboration de l'appelant ne peut être qualifiée de bonne dès lors qu'elle n'a en rien permis de faire progresser le dossier et qu'il lui était difficile de nier l'évidence. En particulier, l'appelant s'est refusé à donner le moindre renseignement sur le contexte précis qui lui avait permis d'économiser la somme importante trouvée en sa possession. Les allégués de l'appelant quant à sa volonté de quitter la Suisse sont peu étayés. Il a d'abord prétendu à la police avoir une copine en Suisse avec laquelle il vivait à Genève. Deux mois plus tard, sans donner aucune précision, il a prétendu que sa femme venait d'accoucher en Italie et qu'il voulait l'y rejoindre "dans un proche avenir" pour vivre avec elle. Il est douteux que si sa compagne avait été à deux mois d'accoucher de son propre enfant, l'appelant ne l'eusse signalé à la police au moment de son interpellation. Alors qu'il était libre de ses mouvements durant la période précitée, il lui eut été aisé de documenter a minima la réalité de ce projet "italien", ce qu'il n'a pas fait, démontrant son inconsistance. Ce dernier n'est ainsi aucunement établi, de sorte qu'il n'y a pas lieu d'en tenir compte et il ne saurait, en tout état, justifier de privilégier sa condamnation à une peine pécuniaire. Il faut relever que la récidive intervenue et l'absence de tout projet de vie concret entraîne un pronostic défavorable, étant souligné l'absence de prise de conscience que son comportement léger traduit. Ce pronostic défavorable conduit également la CPAR à prononcer une peine privative de liberté pour l'infraction d'exercice d'une activité lucrative sans autorisation qui intervient en concours. Une peine privative de liberté s'impose ainsi, d'autant plus qu'en l'absence de toute perspective concrète de régularisation de sa situation, il n'y a pas lieu de considérer que l'appelant pourrait bénéficier de revenus légaux à l'avenir, à l'instar de ce qu'a souligné le premier juge. Compte tenu du concours d'infractions, étant relevé que les infractions entrant en concours sont d'une gravité comparable, la quotité de 30 unités pénales décidée par le premier juge correspond, de façon plutôt clémente, à la faute commise. Il y aurait ainsi lieu de maintenir la peine privative de liberté de 30 jours infligée à l'appelant. Cela étant, il sied de tenir compte du jugement du 9 octobre 2019 du Tribunal de première instance [de] D______ [JU], dont le premier juge n'avait pas connaissance. Il s'en suit qu'une peine complémentaire doit être fixée. La non révocation des sursis, qui n'est pas entreprise, est acquise à l'appelant. Ainsi, l'appel sera partiellement accueilli, mais pour un motif non plaidé et une peine privative de liberté de 20 jours sera prononcée.</w:t>
      </w:r>
    </w:p>
    <w:p>
      <w:r>
        <w:rPr>
          <w:b/>
        </w:rPr>
        <w:t>E. 3</w:t>
      </w:r>
    </w:p>
    <w:p>
      <w:r>
        <w:t>L'appelant, qui n'obtient très partiellement gain de cause qu'en raison du prononcé d'une peine ultérieure à la condamnation entreprise, supportera les frais de la procédure envers l'État comprenant un émolument de CHF 1'500.- (art. 428 CPP). 4.1.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4.2. En l'espèce, malgré qu'elle y a été invitée, M e B______, défenseure d'office de A______, n'a pas produit d'état de frais. La CPAR, statuant d'office, arrêtera celui-ci à quatre heures d'activité de stagiaire (CHF 440.-) pour les quelques trois pages du mémoire d'appel motivé, hors la répétition du dispositif du jugement et les conclusions d'appel, auxquelles s'ajoutera le forfait à raison de 20% (CHF 88.-) et la TVA à 7.7% (CHF 37.60), soit CHF 525.60.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