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P/26385/2017 vom 14. Dezember 2018</w:t>
      </w:r>
    </w:p>
    <w:p>
      <w:r>
        <w:t>GE Cour de justice, 2018-12-14, FR</w:t>
      </w:r>
    </w:p>
    <w:p>
      <w:r>
        <w:rPr>
          <w:b/>
        </w:rPr>
        <w:t xml:space="preserve">Quelle: </w:t>
      </w:r>
      <w:r>
        <w:t>https://mcp.opencaselaw.ch/entscheid/ge_gerichte_P_26385_2017</w:t>
      </w:r>
    </w:p>
    <w:p>
      <w:r>
        <w:t>FR: GE_GERICHTE P/26385/2017 du 14 décembre 2018</w:t>
      </w:r>
    </w:p>
    <w:p>
      <w:r>
        <w:t>IT: GE_GERICHTE P/26385/2017 del 14 dicembre 2018</w:t>
      </w:r>
    </w:p>
    <w:p>
      <w:pPr>
        <w:pStyle w:val="Heading2"/>
      </w:pPr>
      <w:r>
        <w:t>Regeste</w:t>
      </w:r>
    </w:p>
    <w:p>
      <w:r>
        <w:t>DOMMAGES À LA PROPRIÉTÉ(DROIT PÉNAL); FIXATION DE LA PEINE ; FRAIS JUDICIAIRES | CP.144.al1; CP.139.ch1; CP.286.al1; CP.46.al1; CPP.428.al3; CPP.426</w:t>
      </w:r>
    </w:p>
    <w:p>
      <w:pPr>
        <w:pStyle w:val="Heading2"/>
      </w:pPr>
      <w:r>
        <w:t>Erwägungen</w:t>
      </w:r>
    </w:p>
    <w:p>
      <w:r>
        <w:rPr>
          <w:b/>
        </w:rPr>
        <w:t>E. 1</w:t>
      </w:r>
    </w:p>
    <w:p>
      <w:r>
        <w:t>L'appel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2.1.2. Selon l'art. 144 al. 1 CP, se rend coupable de dommages à la propriété et sera puni sur plainte celui qui aura endommagé, détruit ou mis hors d'usage une chose appartenant à autrui ou frappée d'un droit d'usage ou d'usufruit au bénéfice d'autrui.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arrêts du Tribunal fédéral 6B_77/2017 du 16 janvier 2018 consid. 2.1 et les références ; 6B_348/2012 du 24 octobre 2012 consid. 2.2).</w:t>
      </w:r>
    </w:p>
    <w:p>
      <w:r>
        <w:rPr>
          <w:b/>
        </w:rPr>
        <w:t>E. 2.2</w:t>
      </w:r>
    </w:p>
    <w:p>
      <w:r>
        <w:t>En l'espèce, l'appelant a de manière constante soutenu avoir certes volé un sac à dos dans une voiture, mais ne pas avoir préalablement brisé la vitre du véhicule visé pour parvenir à ses fins. Ses dénégations et explications à cet égard sont dépourvues de crédibilité. Il sied de rappeler que les faits se sont déroulés à 3h00 du matin et que l'appelant était seul agenouillé à environ 2 mètres de la voiture endommagée, en train de fouiller le sac dérobé, au moment de l'intervention de la police. Des débris de verre ont été retrouvés dans la poche droite de sa veste, où ils n'ont pu arriver que par projection. On ne saurait partant suivre l'appelant lorsqu'il prétend qu'ils y seraient entrés par le seul passage de sa main dans l'habitacle. Tout autant maladroitement, il prétend que le sac convoité avait déjà été fouillé par le tiers ayant brisé la vitre, ce qui implique que ledit sac aurait déjà été sorti par l'ouverture créée. Cette version des faits est invraisemblable et rend vaine sa détermination tendant à justifier la présence de débris de verre dans sa poche. A le suivre en effet, il n'aurait pas eu besoin de passer la main à travers la vitre brisée, le sac à dos étant à l'extérieur du véhicule. L'absence d'objet ayant pu servir à forcer cette vitre n'est pas de nature à exclure l'action de l'appelant, tant il a pu s'en débarrasser avant d'être surpris en train de fouiller le sac. Il existe ainsi un faisceau d'indices suffisant qui convainc qu'il a bien cassé cette vitre pour s'emparer de l'objet convoité de sorte qu'il sera reconnu coupable de dommages à la propriété et le jugement de première instance réformé sur ce point.</w:t>
      </w:r>
    </w:p>
    <w:p>
      <w:r>
        <w:rPr>
          <w:b/>
        </w:rPr>
        <w:t>E. 3.1</w:t>
      </w:r>
    </w:p>
    <w:p>
      <w:r>
        <w:t>Les nouvelles dispositions sur le droit des sanctions sont entrées en vigueur le 1 er janvier 2018, réforme qui marque globalement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 plan. En l'espèce, l'application de l'ancien ou du nouveau droit ne conduirait pas à une solution différente s'agissant des critères de fixation et d'atténuation de la peine (cf. infra consid. 3.5.1.). L'art. 46 al. 1 nouveau CP s'avère par contre plus favorable au condamné (cf. infra consid. 3.4.1 ; prononcé d'une peine d'ensemble) de sorte que le nouveau droit sera appliqué in casu .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3.2.2.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Commentaire romand :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l'art. 49 CP par analogie.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arrêts du Tribunal fédéral 6B_879/2016 du 22 juin 2017 consid. 3.1 ; 6B_105/2016 du 11 octobre 2016 consid. 1.1). 3.5.1. En l'espèce, la faute de l'appelant n'est pas négligeable. Il s'en est pris au patrimoine d'autrui en l'endommageant pour s'approprier son bien dans le but de s'enrichir de manière illégitime. Pris en flagrant délit, il a empêché deux gendarmes d'accomplir leurs actes en prenant la fuite nonobstant leurs injonctions. Il s'est par ailleurs évertué à demeurer en Suisse, sans droit, pendant plus de deux mois et ce malgré ses trois précédentes condamnations pour, notamment, séjour illégal ainsi qu'une décision de renvoi entrée en force. L'appelant n'a admis qu'une partie des infractions reprochées, étant relevé qu'il pouvait difficilement faire autrement au vu des circonstances de son interpellation. Sa collaboration doit être qualifiée de moyenne dans cette mesure, puisqu'il persiste, en appel, à plaider son acquittement pour le chef de dommages à la propriété nonobstant les éléments le mettant en cause. Ses mobiles sont égoïstes, relevant de la désinvolture face aux règles en vigueur et aux autorités chargées de les appliquer. Même si la précarité de la situation personnelle de l'appelant explique, en partie, ses agissements, elle ne saurait les justifier, étant relevé que sa vraisemblable absence totale de liens avec la Suisse rend encore moins compréhensible son insistance à rester dans ce pays. Jusqu'à la récente prise de contact de l'appelant avec le [service d'aide au retour] de G______, au demeurant non étayée si ce n'est indirectement par l'association F______, il n'y avait aucune manifestation de sa part d'une quelconque prise de conscience ou de démarche visant à quitter la Suisse. Bien qu'il ne soit, précisément, pour l'heure guère question que d'une prise de contact, dont on pourrait soupçonner un caractère purement opportuniste, la Cour concèdera une apparente ébauche de progrès. Il y a concours d'infractions entre les art. 139 et 144 CP, ainsi que 115 al. 1 let. b LEtr, ce qui commande une augmentation de la peine dans une juste proportion et exclut l'application de la Directive 2008/115/CE du Parlement européen et du Conseil relative aux normes et procédures communes applicables dans les États membres au retour des ressortissants de pays tiers en séjour irrégulier du 16 décembre 2008 (arrêt du Tribunal fédéral 6B_320/2013 du 29 août 2013 consid. 3.2). L'appelant n'a tiré aucune leçon de ses trois précédentes condamnations, sanctionnées par des peines pécuniaires, les deux premières étant assorties du sursis. Le pronostic le concernant est ainsi clairement défavorable. Les conditions du sursis ne sont plus réalisées, et seule une peine privative de liberté est désormais à même d'atteindre le but de prévention spéciale, une peine de travail d'intérêt général n'étant pas compatible avec le statut administratif de l'appelant. Les peines pécuniaires ont fait la preuve de leur totale inefficacité de sorte qu'il est temps de passer à une peine plus dissuasive. Au vu de ces éléments, une peine privative de liberté de 50 jours sera infligée à l'appelant. L'infraction à l'art. 286 CP, réprimée par un genre de peine différent, sera cumulée à la peine précédente, étant relevé que l'appelant n'a contesté ni sa quotité, de 10 jours-amende, ni le montant du jour-amende de CHF 10.-, en adéquation avec sa faute et sa situation personnelle, dont financière. Cette peine ne tient toutefois pas encore compte de la révocation des sursis. 3.5.2. En effet, au vu des multiples récidives intervenues dans les délais d'épreuve, s'agissant d'infractions contre le patrimoine et à la LEtr, et du pronostic clairement défavorable tel que développé supra , la révocation des sursis octroyés le 30 mai 2015 par le Ministère public - au demeurant non remise en cause par l'appelant - et le Tribunal de police le 13 mars 2017 s'impose. L'appelant n'a manifestement pas tenu compte des chances qui lui ont été données par l'octroi de ces deux premiers sursis. Même s'il affiche désormais un souhait de retourner dans son pays d'origine, force est de constater que ses démarches en leur état actuel s'avèrent complexes et non abouties, de sorte que le risque de commission de nouvelles infractions semblables est patent. Ainsi, après révocation desdits sursis, une peine d'ensemble de (90 + 30 + 10 = 130 avant peine d'ensemble) 110 jours-amende, à CHF 10.- l'unité, sera prononcée.</w:t>
      </w:r>
    </w:p>
    <w:p>
      <w:r>
        <w:rPr>
          <w:b/>
        </w:rPr>
        <w:t>E. 4.1</w:t>
      </w:r>
    </w:p>
    <w:p>
      <w:r>
        <w:t>Aux termes de l'art. 428 al. 3 CPP, si l'autorité de recours rend elle-même une nouvelle décision, elle se prononce également sur les frais fixés par l'autorité inférieure. La culpabilité de l'appelant est aggravée en appel par sa condamnation pour dommages à la propriété, de même que sa peine. Il ne bénéficie ainsi plus en particulier d'un acquittement partiel de sorte que l'intégralité des frais de la procédure de première instance, s'élevant à CHF 1'581.-, sera mise à sa charge (art. 426 al. 1 CPP). L'appelant succombe entièrement en appel et le Ministère public obtient gain de cause dans son appel joint. Ainsi, l'appelant supportera également les frais de la procédure d'appel, comprenant un émolument de décision de CHF 1'700.- (art. 428 CPP et 14 al. 1 let. e du Règlement fixant le tarif des frais en matière pénale du 22 décembre 2010 [RS E 4 10.03]).</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depuis le 1 er octobre 2018, selon le tarif horaire suivant, débours de l'étude inclus : avocat stagiaire CHF 110.- (let. a) ; chef d'étude CHF 200.- (let. c).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couverte par le forfait ( AARP/425/2013 du 12 septembre 2013 [énoncé du principe]). 5.2.4. Dans le cadre des mandats d'office, l'État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écartant la rédaction de conclusions civiles en appel reprenant celles déposées en première instance). 5.2.5.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w:t>
      </w:r>
    </w:p>
    <w:p>
      <w:r>
        <w:rPr>
          <w:b/>
        </w:rPr>
        <w:t>E. 5.3</w:t>
      </w:r>
    </w:p>
    <w:p>
      <w:r>
        <w:t>En l'occurrence il se justifie, en application des principes qui précèdent, de retrancher de l'état de frais de M e B______, défenseure d'office de A______ : ·      1h d'entretien avec le client à l'Etude, deux entretiens de chacun 30 minutes s'avérant suffisants pour décider de l'opportunité de former appel/appel joint, respectivement discuter de la position à adopter dans les écritures, dans un dossier dénué de toute complexité et bien connu pour avoir été suivi ab initio ; ·      3h des deux postes liés à la rédaction des mémoires, une durée globale de 4h s'avérant suffisante pour les arguments, encore une fois dénués de toute complexité, à y développer ; ·      15 minutes du poste " prise de connaissance du mémoire sur appel joint ", entrant dans le forfait pour activités diverses, étant relevé que l'argumentation y développée tient à bon escient sur à peine 2 pages.</w:t>
      </w:r>
    </w:p>
    <w:p>
      <w:r>
        <w:rPr>
          <w:b/>
        </w:rPr>
        <w:t>E. 5.4</w:t>
      </w:r>
    </w:p>
    <w:p>
      <w:r>
        <w:t>En conclusion, l'indemnité sera arrêtée à CHF 827.15 correspondant à 1h d'activité au tarif de CHF 200.-/heure, 4h à celui de CHF 110.- (CHF 440.-), plus la majoration forfaitaire de 20% (CHF 128.-) et l'équivalent de la TVA au taux de 7.7% CHF 59.15.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