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P/26351/2023 vom 5. Mai 2025</w:t>
      </w:r>
    </w:p>
    <w:p>
      <w:r>
        <w:t>GE Cour de justice, 2025-05-05, FR</w:t>
      </w:r>
    </w:p>
    <w:p>
      <w:r>
        <w:rPr>
          <w:b/>
        </w:rPr>
        <w:t xml:space="preserve">Quelle: </w:t>
      </w:r>
      <w:r>
        <w:t>https://mcp.opencaselaw.ch/entscheid/ge_gerichte_P_26351_2023</w:t>
      </w:r>
    </w:p>
    <w:p>
      <w:r>
        <w:t>FR: GE_GERICHTE P/26351/2023 du 5 mai 2025</w:t>
      </w:r>
    </w:p>
    <w:p>
      <w:r>
        <w:t>IT: GE_GERICHTE P/26351/2023 del 5 maggio 2025</w:t>
      </w:r>
    </w:p>
    <w:p>
      <w:pPr>
        <w:pStyle w:val="Heading2"/>
      </w:pPr>
      <w:r>
        <w:t>Regeste</w:t>
      </w:r>
    </w:p>
    <w:p>
      <w:r>
        <w:t>ORDONNANCE DE NON-ENTRÉE EN MATIÈRE;ESCROQUERIE;USURE(DROIT PÉNAL);HONORAIRES;CONTRAINTE(DROIT PÉNAL);FAUX MATÉRIEL DANS LES TITRES | CPP.310; CP.146; CP.157; CP.251;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laissé s'écouler près d'un an et demi avant de statuer sur sa plainte, ce qui violerait le principe de la célérité. Il lui reproche également d'avoir rendu une ordonnance de non-entrée en matière plutôt qu'une ordonnance de classement et de ne pas l'avoir interpellé préalablement au prononcé de cette décision.</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soit procédé à de plus amples actes d'enquête et qu'une instruction soit ouverte selon l'art. 309 CPP. Le ministère public peut néanmoins procéder à certaines vérifications avant de refuser d'entrer en matière, notamment demander des compléments d'enquête à la police, mais aussi procéder à ses propres constatations, ce qui comprend le droit de consulter les fichiers, dossiers et renseignements disponibles (arrêt du Tribunal fédéral 7B_2/2022 du 24 octobre 2023 consid. 2.1.1). La décision n'est ainsi soumise à aucun délai, le procureur devant simplement veiller au respect du principe de célérité (art. 5 CPP; Y. JEANNERET / A. KUHN / C. PERRIER DEPEURSINGE (éds), C ommentaire romand : Code de procédure pénale suisse , 2 ème éd., Bâle 2019, n. 4 ad art. 310).</w:t>
      </w:r>
    </w:p>
    <w:p>
      <w:r>
        <w:rPr>
          <w:b/>
        </w:rPr>
        <w:t>E. 2.2</w:t>
      </w:r>
    </w:p>
    <w:p>
      <w:r>
        <w:t>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arrêt du Tribunal fédéral 6B_1096/2018 du 25 janvier 2019 consid. 2.2).</w:t>
      </w:r>
    </w:p>
    <w:p>
      <w:r>
        <w:rPr>
          <w:b/>
        </w:rPr>
        <w:t>E. 2.3</w:t>
      </w:r>
    </w:p>
    <w:p>
      <w:r>
        <w:t>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cf. arrêt du Tribunal fédéral 6B_89/2022 du 2 juin 2022 consid. 2.2). La requête tendant à obtenir d'une autorité (notamment) administrative la production d'un dossier au sens de l'art. 194 CPP constitue un acte d'enquête qui ne peut, en principe, être exécuté qu'une fois l'instruction ouverte (arrêt du Tribunal fédéral 6B_446/2021 du 21 juillet 2022 consid. 2.3). Le fait pour le ministère public de rendre une ordonnance de non-entrée en matière, alors que les circonstances permettent de considérer qu'une instruction a été ouverte, est toutefois en principe sans incidence pour les parties et il ne se justifie pas d'annuler la décision pour ce seul motif, même si certains actes exécutés par le ministère public sont de ceux qui doivent être exécutés après l'ouverture d'une instruction (arrêts du Tribunal fédéral 6B_425/2022 du 15 février 2023 consid. 4.1.1 et 6B_962/2013 du 1 er mai 2014 consid. 2).</w:t>
      </w:r>
    </w:p>
    <w:p>
      <w:r>
        <w:rPr>
          <w:b/>
        </w:rPr>
        <w:t>E. 2.4</w:t>
      </w:r>
    </w:p>
    <w:p>
      <w:r>
        <w:t>En l'espèce, le fait que l'ordonnance querellée ait été rendue dix-sept mois après le dépôt de la plainte n'est pas, à lui seul, suffisant pour être constitutif d'une violation du principe de la célérité, dès lors que le prononcé de ladite décision n'est soumis à aucun délai. La notion d'immédiateté ne signifie, en effet, pas que le refus d'entrer en matière doit être prononcé à réception de la plainte pénale, sans qu'il ne soit possible d'effectuer au préalable des vérifications simples. À la suite du dépôt de celle-ci, le Ministère public a, par courrier du 22 mai 2024, informé le mis en cause de l'ouverture d'une procédure à son encontre, en lui indiquant qu'il pouvait consulter le dossier, participer aux actes de procédure, se déterminer sur la cause et déposer des propositions de preuves. Il lui a en outre rappelé les droits découlant de son statut de prévenu, en particulier le droit de refuser de déposer ou de collaborer et celui de requérir la désignation d'un défenseur d'office. Eu égard au contenu de cette communication – notamment à l'indication expresse du statut de prévenu et des droits qui y sont attachés –, les déterminations et pièces produites par le mis en cause ne sauraient dès lors être considérées comme une simple prise de position (cf. arrêt du Tribunal fédéral 6B_539/2016 du 1 er novembre 2017 consid. 2.2.2). De plus, le 7 février 2025, le Ministère public a requis du Tribunal d'arrondissement de E______, en application de l'art. 194 CPP, de l'informer si le recourant avait remboursé les montants perçus de l'État de Vaud au titre de l'assistance judiciaire dans le cadre de sa procédure de divorce, ce à quoi cette autorité a répondu par l'affirmative, en produisant la pièce justificative y afférente. Or, la demande de production d'un dossier au sens de la disposition précitée est considérée comme un acte d'instruction ne pouvant en principe être exécuté qu'une fois l'instruction ouverte. Il appert, en conséquence, tel que le soutient le recourant, qu'une instruction a été matériellement ouverte et qu'il n'était plus possible de statuer par la voie d'une ordonnance de non-entrée en matière. Ce nonobstant, cette erreur formelle ne justifie pas, à elle seule, l'annulation de la décision entreprise, dès lors qu'aucun préjudice n'en a résulté pour le recourant. Le motif ayant présidé à la clôture de la procédure – soit l'absence de réalisation des réquisits des infractions dénoncées – est en effet commun à la non-entrée en matière (art. 310 al. 1 let. a CPP) et au classement (art. 319 al. 1 let. b CPP). Le fait que le Ministère public n'ait pas invité le recourant à se déterminer sur les allégations du mis en cause préalablement à sa décision – ce qui constitue effectivement une violation du droit d'être entendu, au vu de ce qui précède – n'a pas non plus d'incidence sur la validité de l'ordonnance entreprise, cette omission ayant pu être réparée dans le cadre de la présente procédure de recours. En effet, le recourant a eu l'occasion, devant la Chambre de céans – qui dispose d'un plein pouvoir de cognition en fait et en droit –, de se déterminer sur les déclarations du mis en cause et sur les pièces produites par celui-ci, ainsi que de présenter des réquisitions de preuve en lien avec celles-ci. Un renvoi de la cause au Ministère public pour ce motif s'avérerait ainsi inutile et contraire au principe d'économie de la procédure.</w:t>
      </w:r>
    </w:p>
    <w:p>
      <w:r>
        <w:rPr>
          <w:b/>
        </w:rPr>
        <w:t>E. 3</w:t>
      </w:r>
    </w:p>
    <w:p>
      <w:r>
        <w:t>Le recourant estime qu'il existe une prévention suffisante, contre M e C______, d'infractions aux art. 146, 157, 181 et 251 CP.</w:t>
      </w:r>
    </w:p>
    <w:p>
      <w:r>
        <w:rPr>
          <w:b/>
        </w:rPr>
        <w:t>E. 3.1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3.2.1. Aux termes de l'art. 146 ch. 1 CP, commet une escroquerie quiconque, dans le dessein de se procurer ou de procurer à un tiers un enrichissement illégitime, induit astucieusement en erreur une personne par des affirmations fallacieuses ou la dissimulation de faits vrais ou la conforte dans son erreur et détermine de la sorte la victime à des actes préjudiciables à ses intérêts pécuniaires ou à ceux d'un tiers. 3.2.2.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 3.2.3. L'astuce n'est toutefois pas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3.3.1. L'art. 157 CP poursuit, du chef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3.3.2. La réalisation de cette infraction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 3.3.3.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Pour admettre un état de gêne financière, la victime doit se trouver dans l'impossibilité de repousser le contrat qui lui est proposé ou les conditions qui lui sont faites. Elle se trouve ainsi réduite à une telle extrémité, soit à la " merci " de l'usurier ( ACPR/31/2024 du 19 janvier 2024, consid. 3.2; M. DUPUIS/ L. MOREILLON/ C. PIGUET/ S. BERGER/ M. MAZOU/ V. RODIGARI (éds), Petit commentaire du CP , 2 ème éd., Bâle 2017, n. 5 ad 157). 3.4.1. L'art. 181 CP punit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3.4.2. Faire notifier un commandement de payer lorsqu'on est fondé à réclamer une somme est licite. En revanche, utiliser un tel procédé comme moyen de pression est clairement abusif, donc illicite (ATF 115 III 18 consid. 3; arrêt du Tribunal fédéral 6B_271/2014 du 17 septembre 2024 consid. 2.1.1) 3.4.3. Lorsque la victime ne se laisse pas intimider et n'adopte pas le comportement voulu par l'auteur, ce dernier est punissable du chef de tentative de contrainte (art. 22 al. 1 CP; ATF 129 IV 262 consid. 2.7; 106 IV 125 consid. 2b). 3.5.1. 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Cette disposition – qui doit être appliquée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3.5.2.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(ATF 138 IV 130 consid. 2.1; 132 IV 12 consid. 8.1; 129 IV 130 consid. 2.1; 126 IV 65 consid. 2a). 3.5.3. Sous réserve qu'elles ne revêtent pas une valeur probante accrue au regard de l'usage concret qui en est destiné (par exemple si elles sont destinées à servir de preuve pour la comptabilité), les factures ne sont pas des titres, dès lors qu'elles ne contiennent en règle générale que de simples allégations de l'auteur concernant la prestation due par le destinataire (ATF 142 IV 119 consid. 2.2; 138 IV 130 consid. 2.2.1; 125 IV 17 consid. 2/aa; 121 IV 131 consid. 2c; arrêt du Tribunal fédéral 6B_1096/2015 du 9 décembre 2015 consid. 3.3.2). 3.5.4. Les attestations émises par un avocat à l'attention d'une banque étrangère sur l'état d'un compte et sur des papiers-valeurs qu'il détiendrait à titre de garantie ont été jugées nanties d'une valeur probante accrue, dès lors que l'avocat exerce une activité soumise à autorisation et à un contrôle disciplinaire (arrêt du Tribunal fédéral 6S_295/2001 du 24 août 2001 consid. 2b). En revanche, la note d'honoraires d'un avocat ne prouve pas en elle-même la réalité des opérations qu'elle énumère. S'il a tenu un décompte détaillé de ses activités et du temps consacré à celles-ci, l'avocat parviendra à prouver la réalité de la plupart des opérations facturées, ce qui ne signifie pas encore qu'un décompte produit par l'avocat est doté d'une force probante particulière ; au contraire, en cas de litige, la liste des opérations doit être confrontée au dossier produit par l'avocat (arrêts du Tribunal fédéral 4A_212/2008 du 15 juillet 2008 consid. 3.1 ; 4A_2/2013 du 12 juin 2013 consid. 3.2.1.3 ; 4D_30/2016 du 20 octobre 2016 consid. 4 ; AARP/147/2021 du 26 mai 2021 consid. 2.3.2; AARP/188/2020 du 26 mai 2020 consid. 5.1.2.2). 3.6.1. En l'espèce, le recourant soutient que le mis en cause aurait profité de sa situation de " vulnérabilité juridique et émotionnelle " et du lien de confiance les unissant – l'avocat étant également son ami –, pour le conduire à signer trois accords successifs relatifs à la fixation de ses honoraires et à accepter des facturations dont il ne mesurait pas pleinement la portée. Cela étant, on ne distingue pas quels manœuvre frauduleuse, édifice de mensonges ou mise en scène subtile auraient été exercés sur le recourant. Au contraire, il ressort du dossier que les deux conventions d'honoraires et le protocole d'accord litigieux, signés par les parties, sont rédigés en termes clairs et dépourvus d'ambiguïté. Il paraît donc peu vraisemblable que le recourant, qui semble disposer d'une certaine expérience en affaires (cf. let. B. d. supra ), n'en ait pas compris la teneur ni saisi la portée. Alors que la première convention prévoyait un honoraire de résultat de 10 % uniquement sur la part des sommes excédant CHF 4'000'000.- perçues par le recourant dans le cadre de son divorce, la seconde fixait ces mêmes honoraires à 10 % de l'intégralité des montants perçus par l'intéressé. Dans ces circonstances, il ne saurait valablement soutenir avoir supposé que cette convention lui était financièrement plus avantageuse. En tout état de cause, aucun élément du dossier ne permet d'établir que le mis en cause l'aurait conforté dans cette impression, créé une confusion ou induit en erreur à cet égard. Quant au pactum de palmario , en vertu duquel les honoraires d'un avocat sont augmentés d'une prime en cas de succès, il n'est pas illicite en soi – contrairement au pactum de quota litis –, et il n'est pas d'emblée établi que les conditions requises pour ce mode de rémunération ne fussent pas réunies en l'espèce, cette question relevant, au demeurant, exclusivement de la compétence des juridictions civiles. Par ailleurs, contrairement à ce que soutient le recourant, il ressort des pièces versées au dossier que le mis en cause lui a adressé l'intégralité de ses notes d'honoraires, détaillant les prestations effectuées dans le cadre du mandat. Alors qu'il pouvait être attendu du recourant qu'il vérifiât le bien-fondé des facturations reçues, il reconnaît ne jamais les avoir contestées ni demandé d'éclaircissements à leur propos. Dans ces circonstances, le fait que le mis en cause ait prétendument comptabilisé des heures excessives, voire fictives, ne saurait constituer un édifice de mensonges, ni même des informations fallacieuses suffisamment astucieuses pour tromper le recourant. Par ailleurs, le fait que les parties aient entretenu une relation d'amitié ne suffit pas à établir l'existence d'un lien de confiance d'une intensité susceptible de dispenser le recourant de toute vérification. Pour le surplus, il appert que ce dernier a lui-même déposé la demande d'assistance judiciaire auprès des autorités judiciaires vaudoises et que les montants perçus à ce titre ont été déduits des honoraires réclamés par le mis en cause, ce dont il a eu connaissance. On ne décèle ainsi aucune tromperie à cet égard non plus. En définitive, en l'absence d'une quelconque tromperie, qui plus est astucieuse, les éléments constitutifs de l'infraction à l'art. 146 CP ne sont pas réunis. Le Ministère public était donc fondé à ne pas entrer en matière sur cette infraction. 3.6.2. Ensuite, les éléments versés au dossier ne permettent pas d'établir que le recourant se fût trouvé, au moment de la signature des différents accords, dans une situation de faiblesse, de gêne ou de dépendance économique à l'égard du mis en cause. Au contraire, lors de la signature du protocole d'accord du 29 novembre 2021, l'intéressé détenait une créance de CHF 5'314'000.- contre son ex-épouse, en vertu de la convention de liquidation de leur régime matrimonial conclue le 19 août 2021. On ne discerne dès lors pas en quoi sa situation personnelle et financière aurait rendu impérative la conclusion du protocole d'accord litigieux, sans qu'aucune alternative ne lui fût offerte. Par ailleurs, il apparaît qu'il a été en mesure de renégocier à plusieurs reprises les conditions de rémunération de son conseil, ainsi que de conduire seul les discussions ayant abouti à la liquidation de son régime matrimonial, sans l'assistance de ce dernier, dont il n'était ainsi pas tributaire. Il s’ensuit que les conditions constitutives de l’infraction d’usure (art. 157 CP n’apparaissent pas réalisées. L’ordonnance querellée est donc fondée sur ce point également. 3.6.3. En ce qui concerne l'infraction de contrainte, il apparaît que le recourant ne s'est nullement laissé intimider par le commandement de payer litigieux, puisqu'il y a immédiatement formé opposition. Dès lors, seule une tentative de contrainte (art. 22 al. 1 cum 181 CP) pourrait éventuellement entrer en considération. Le moyen utilisé – soit l'envoi d'un commandement de payer – n'est pas en soi illicite; il peut toutefois l'être s'il est détourné de son but ou s'il est utilisé comme moyen de pression. S'agissant du but poursuivi, il apparaît que le mis en cause visait à recouvrer la somme de CHF 100'000.- à titre d'honoraires qu'il estimait lui être dus. Les parties ont en effet conclu un protocole d'accord le 29 novembre 2021, aux termes duquel le recourant s'était engagé à verser à son conseil la somme de CHF 350'000.- à titre d'honoraires, selon un échéancier convenu. L'intéressé ne s'étant acquitté que partiellement de ce montant et ayant manifesté son intention de ne pas régler le solde, le mis en cause était, a priori , fondé à en réclamer le paiement par la voie – légale – de la poursuite. Le fait que le recourant conteste le montant de la créance n'est pas déterminant. Toute autre réponse aurait en effet pour conséquence d'entraver, voire de paralyser, sous couvert de contrainte pénalement qualifiée, le recouvrement forcé d'une créance au motif qu'elle serait contestée. Tel ne peut être le but de l'art. 181 CP. Il existe donc, sur le plan pénal, un lien suffisant entre la créance invoquée par le mis en cause et le montant réclamé, sans qu'il n'appartienne aux autorités pénales de décider si ladite créance est fondée ou non, cette question relevant exclusivement de la compétence des juridictions civiles. Pour le surplus, le fait que le juge de la mainlevée ait refusé de prononcer la mainlevée provisoire de l'opposition faite au commandement de payer ne signifie pas que la démarche du mis en cause était illicite au sens du droit pénal, le fond du litige n'étant pas examiné en procédure de mainlevée. Par conséquent, c'est à juste titre que le Ministère public a retenu que le procédé – licite – utilisé par le mis en cause pour recouvrer la créance qu'il estimait être la sienne ne constituait pas un moyen de pression abusif, au sens de la jurisprudence relative à l'art.181 CP. La décision querellée ne prête dès lors pas le flanc à la critique sur ce point non plus. 3.6.4. S'agissant enfin de l'infraction de faux dans les titres (art. 251 CP), s'il est constant qu'avocat et client sont liés par un rapport de confiance particulier en ce qui concerne les prestations fournies par le premier, tel n'est pas le cas de sa facturation, laquelle ne revêt aucune force probante accrue. Ni une note d'honoraires, ni un relevé de prestations ne prouvent la réalité des opérations facturées ou énumérées. En cas de litige, ces documents doivent au contraire être confrontés au dossier produit par l'avocat. Aussi, ce dernier n'assume-t-il pas une position de garant lorsqu'il demande le paiement de ses honoraires à son client, position qui serait de nature à détourner ce dernier de vérifier le bien-fondé des prétentions. En l'occurrence, les factures litigieuses n'ont pas d'autre finalité que d'exposer les montants réclamés au recourant et ne visent pas, par exemple, à faire attester une comptabilité matériellement fausse. Par ailleurs, les notes d'honoraires en cause font l'objet d'un litige civil, dans le cadre duquel le recourant a précisé les motifs pour lesquels il conteste la légitimité des prétentions soulevées par le mis en cause. Il s'ensuit que les éléments objectifs de l'infraction de faux dans les titres ne sont pas non plus remplis.</w:t>
      </w:r>
    </w:p>
    <w:p>
      <w:r>
        <w:rPr>
          <w:b/>
        </w:rPr>
        <w:t>E. 4</w:t>
      </w:r>
    </w:p>
    <w:p>
      <w:r>
        <w:t>Justifiée, l'ordonnance querellée sera donc confirmée.</w:t>
      </w:r>
    </w:p>
    <w:p>
      <w:r>
        <w:rPr>
          <w:b/>
        </w:rPr>
        <w:t>E. 5</w:t>
      </w:r>
    </w:p>
    <w:p>
      <w:r>
        <w:t>Le recourant succombe sur le fond (art. 428 al. 1 CPP), mais voit son grief tiré d'une violation du droit d'être entendu admis (arrêt du Tribunal fédéral 7B_512/2023 du 30 septembre 2024 consid. 3.1). Il sera, en conséquence, condamné aux deux-tiers des frais de la procédure de recours, fixés en totalité à CHF 1'200.- (art. 3 cum 13 al. 1 du Règlement fixant le tarif des frais en matière pénale, RTFMP; E 4 10.03), soit au paiement de CHF 800.-, somme qui sera prélevée sur les sûretés versées. Le solde de ces frais (CHF 400.-) sera laissé à la charge de l'État.</w:t>
      </w:r>
    </w:p>
    <w:p>
      <w:r>
        <w:rPr>
          <w:b/>
        </w:rPr>
        <w:t>E. 6</w:t>
      </w:r>
    </w:p>
    <w:p>
      <w:r>
        <w:t>Le recourant, partie plaignante, n'ayant ni chiffré ni, a fortiori , justifié les dépens auxquels il conclut, conformément aux exigences de l'art. 433 al. 2 CPP, applicable en instance de recours (art. 436 al. 1 CPP), il ne lui en sera point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