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P/2629/2020 vom 18. Februar 2020</w:t>
      </w:r>
    </w:p>
    <w:p>
      <w:r>
        <w:t>GE Cour de justice, 2020-02-18, FR</w:t>
      </w:r>
    </w:p>
    <w:p>
      <w:r>
        <w:rPr>
          <w:b/>
        </w:rPr>
        <w:t xml:space="preserve">Quelle: </w:t>
      </w:r>
      <w:r>
        <w:t>https://mcp.opencaselaw.ch/entscheid/ge_gerichte_P_2629_2020</w:t>
      </w:r>
    </w:p>
    <w:p>
      <w:r>
        <w:t>FR: GE_GERICHTE P/2629/2020 du 18 février 2020</w:t>
      </w:r>
    </w:p>
    <w:p>
      <w:r>
        <w:t>IT: GE_GERICHTE P/2629/2020 del 18 febbraio 2020</w:t>
      </w:r>
    </w:p>
    <w:p>
      <w:pPr>
        <w:pStyle w:val="Heading2"/>
      </w:pPr>
      <w:r>
        <w:t>Regeste</w:t>
      </w:r>
    </w:p>
    <w:p>
      <w:r>
        <w:t>ESCROQUERIE;IN DUBIO PRO DURIORE;ORDONNANCE DE NON-ENTRÉE EN MATIÈRE | CPP.310; CP.146</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du plaignant sont également recevables, la jurisprudence admettant la production de faits et de moyens de preuve nouveaux en deuxième instance (arrêts du Tribunal fédéral 1B_368/2014 du 5 février 2015 consid. 3.1 et 3.2 et 1B_768/2012 du 15 janvier 2013 consid. 2.1). Tel est également le cas de l'écriture subséquente du recourant du 5 octobre 2020 en tant qu'elle relate des faits nouveaux intervenus postérieurement au dépôt du recours.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conteste l'ordonnance de non-entrée en matière.</w:t>
      </w:r>
    </w:p>
    <w:p>
      <w:r>
        <w:rPr>
          <w:b/>
        </w:rPr>
        <w:t>E. 3.1</w:t>
      </w:r>
    </w:p>
    <w:p>
      <w:r>
        <w:t>L'art. 146 al. 1 CP punit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cependant pas ; il faut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w:t>
      </w:r>
    </w:p>
    <w:p>
      <w:r>
        <w:rPr>
          <w:b/>
        </w:rPr>
        <w:t>E. 3.2</w:t>
      </w:r>
    </w:p>
    <w:p>
      <w:r>
        <w:t>L'art. 310 al. 1 CPP prévoit que le ministère public rend immédiatement une ordonnance de non-entrée en matière s'il ressort de la dénonciation ou du rapport de police, notamment, que les conditions à l'action pénale ne sont pas réunies (let. a) ou qu'il existe des empêchements de procéder (let. b). Le ministère public doit être certain que les faits ne sont pas punissables (ATF 137 IV 285 consid. 2.3 p. 287 et les références citées). Le principe in dubio pro duriore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 arrêt 6B_635/2018 du 24 octobre 2018).</w:t>
      </w:r>
    </w:p>
    <w:p>
      <w:r>
        <w:rPr>
          <w:b/>
        </w:rPr>
        <w:t>E. 3.3</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(A. KUHN / Y. JEANNERET (éds), Commentaire romand : Code de procédure pénale suisse, Bâle 2011, n. 9 ad art. 310 ; R. PFISTER-LIECHTI (éd.), La procédure pénale fédérale, Fondation pour la formation continue des juges suisses , Berne 2010, p. 62 ; DCPR/85/2011 du 27 avril 2011). Tel est le cas lorsque l'identité de l'auteur de l'infraction ne peut vraisemblablement pas être découverte (arrêt du Tribunal fédéral 1B_67/2012 du 29 mai 2012 consid. 3.2.).</w:t>
      </w:r>
    </w:p>
    <w:p>
      <w:r>
        <w:rPr>
          <w:b/>
        </w:rPr>
        <w:t>E. 3.4</w:t>
      </w:r>
    </w:p>
    <w:p>
      <w:r>
        <w:t>Le Ministère public peut renoncer à des actes d'instructions jugés disproportionnés en rapport avec les intérêts en jeu (en l'espèce, des commissions rogatoires à l'étranger; arrêt du Tribunal fédéral 1B_67/2012 précité; ACPR/540/2012 du 28 novembre 2012).</w:t>
      </w:r>
    </w:p>
    <w:p>
      <w:r>
        <w:rPr>
          <w:b/>
        </w:rPr>
        <w:t>E. 3.5</w:t>
      </w:r>
    </w:p>
    <w:p>
      <w:r>
        <w:t>En l'espèce, le recourant soutient avoir été victime d'une escroquerie, via un faux profil sur G______, l'ayant amené à effectuer un virement indu au mis en cause, domicilié en France. Il ajoute toutefois, dans son recours, que les auteurs de l'escroquerie seraient, selon lui, domiciliés en Afrique et affirme avoir également été contacté depuis un numéro sis en I______. Force est de constater que ni les éléments au dossier ni les explications fournies par le recourant ne permettent de rendre vraisemblable qu'il aurait été amené à verser CHF 299.70 après avoir été induit en erreur de manière astucieuse. On ignore pour quelle raison il a envoyé de l'argent à une femme dont les photographies apparaissaient sur un compte G______ [réseau social], mais dont les références de virement étaient libellées au nom d'un homme. Il lui appartenait, dans cette configuration, de procéder aux vérifications d'usage avant d'envoyer de l'argent à un inconnu, en France. N'ayant pas fait preuve de la prudence commandée par les circonstances, il ne peut invoquer l'existence d'une escroquerie. Au demeurant, les actes d'instruction propres à découvrir l'identité du ou des destinataires du virement devraient passer par des commissions rogatoires dans un pays encore indéterminé d'Afrique, en France ou aux États-Unis. De tels actes d'instruction, pour autant qu'ils soient matériellement exécutables, seraient de toute manière disproportionnés au regard des intérêts en jeu. Le Ministère public était, dès lors, fondé à ne pas entrer en matière sur la plainte déposée par le recourant.</w:t>
      </w:r>
    </w:p>
    <w:p>
      <w:r>
        <w:rPr>
          <w:b/>
        </w:rPr>
        <w:t>E. 4</w:t>
      </w:r>
    </w:p>
    <w:p>
      <w:r>
        <w:t>Justifiée, l'ordonnance querellée sera donc confirmée.</w:t>
      </w:r>
    </w:p>
    <w:p>
      <w:r>
        <w:rPr>
          <w:b/>
        </w:rPr>
        <w:t>E. 5</w:t>
      </w:r>
    </w:p>
    <w:p>
      <w:r>
        <w:t>Le recourant, qui succombe, supportera les frais envers l'État, qui seront fixés en totalité à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