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P/2618/2022 vom 5. Dezember 2023</w:t>
      </w:r>
    </w:p>
    <w:p>
      <w:r>
        <w:t>GE Cour de justice, 2023-12-05, FR</w:t>
      </w:r>
    </w:p>
    <w:p>
      <w:r>
        <w:rPr>
          <w:b/>
        </w:rPr>
        <w:t xml:space="preserve">Quelle: </w:t>
      </w:r>
      <w:r>
        <w:t>https://mcp.opencaselaw.ch/entscheid/ge_gerichte_P_2618_2022</w:t>
      </w:r>
    </w:p>
    <w:p>
      <w:r>
        <w:t>FR: GE_GERICHTE P/2618/2022 du 5 décembre 2023</w:t>
      </w:r>
    </w:p>
    <w:p>
      <w:r>
        <w:t>IT: GE_GERICHTE P/2618/2022 del 5 dicembre 2023</w:t>
      </w:r>
    </w:p>
    <w:p>
      <w:pPr>
        <w:pStyle w:val="Heading2"/>
      </w:pPr>
      <w:r>
        <w:t>Regeste</w:t>
      </w:r>
    </w:p>
    <w:p>
      <w:r>
        <w:t>INTÉRÊT JURIDIQUEMENT PROTÉGÉ;LÉSÉ;LOI COVID-19;ESCROQUERIE;FAUX INTELLECTUEL DANS LES TITRES | aOCaS-COVID-19.23; aOCaS-COVID-19.6; aOCaS-COVID-19.7; aOCaS-COVID-19.11; LCaS-COVID-19.5; CPP.382; aOCaS-COVID-19.3; CP.146; CP.251</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![endif]&gt;![if&gt; 1.2.1. 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1.2.2. Selon l'art. 104 al. 2 CPP, la Confédération et les cantons peuvent reconnaître la qualité de partie, avec tous les droits, ou des droits limités, à d'autres autorités chargées de sauvegarder des intérêts publics. 1.2.3. L'art. 5 al. 1 de la Loi fédérale du 18 décembre 2020 sur les crédits garantis par un cautionnement solidaire à la suite du coronavirus (LCaS-COVID-19; RS 951.26) prévoit qu'en ce qui concerne les cautionnements solidaires octroyés en vertu de l'OCaS-COVID-19, les organisations de cautionnement assurent les tâches suivantes: (a) la gestion, la surveillance et le règlement des cautionnements; (b) les tâches qui leur sont attribuées dans le cadre de la prévention de la lutte et de la poursuite en matière d'abus; (c) les tâches prévues par la convention conclue avec la Confédération. L'al. 2 de cette disposition prévoit qu'afin d'accomplir leurs tâches, les organisations de cautionnement peuvent introduire et mener des procédures civiles et pénales de manière autonome (let. b) et se constituer parties plaignantes dans des procédures pénales; elles ont tous les droits et obligations qui en découlent (let. c). Pour sauvegarder les intérêts de la Confédération, les organisations de cautionnement disposent en tant que partie plaignante de tous les droits et obligations prévus aux art. 118 ss CPP. Pour les organisations de cautionnement, qui ont en leur qualité de cautions solidaires une responsabilité directe envers les donneurs de crédit, cette possibilité existe aussi dans les procédures pénales qui sont exécutées avant la sollicitation formelle ou le versement formel du cautionnement (Message du Conseil fédéral concernant la Loi sur les crédits garantis par un cautionnement solidaire à la suite du coronavirus [ci-après, Message], FF 2020 8195 s.). 1.2.4. En l'espèce, la recourante est une organisation de cautionnement reconnue par la Confédération, de sorte qu'elle revêt cette qualité au sens de l'art. 5 LCas-COVID-19. Par ailleurs, la société F______ a obtenu un crédit COVID-19 garanti exclusivement par son cautionnement. La recourante doit ainsi être reconnu comme partie plaignante en vertu de l'art. 5 al. 2 LCaS-COVID-19.</w:t>
      </w:r>
    </w:p>
    <w:p>
      <w:r>
        <w:rPr>
          <w:b/>
        </w:rPr>
        <w:t>E. 1.3</w:t>
      </w:r>
    </w:p>
    <w:p>
      <w:r>
        <w:t>Il s'ensuit que la recourante dispose de la qualité pour recourir contre l'ordonnance querellée et que le recours est recevable.</w:t>
      </w:r>
    </w:p>
    <w:p>
      <w:r>
        <w:rPr>
          <w:b/>
        </w:rPr>
        <w:t>E. 2</w:t>
      </w:r>
    </w:p>
    <w:p>
      <w:r>
        <w:t>4.7. Les fausses déclarations faites lors de la formulation d'une demande de crédit COVID-19 constituent des tromperies astucieuses au sens de l'art. 146 CP, car il est notoire que les crédits COVID-19 ont été octroyés sur la seule base de la propre déclaration du requérant, sans examen des conditions ou de l'intention dans laquelle ils devaient être utilisés. Il n'y a pas de coresponsabilité de la dupe qui exclurait l'astuce, car il s'agissait de rendre possible l'octroi à court terme et de manière standardisée des crédits dans une situation d'urgence. De même, la demande d'octroi d'un tel crédit COVID-19 bénéficie d'une crédibilité accrue, dans la mesure où la loi impose en règle générale de renoncer à une vérification plus approfondie des indications fournies, la banque ou ses collaborateurs étant en droit de se fier au contenu constaté dans le titre (TC VD, CAPE/2022/298 du 5 décembre 2022 consid. 6.2.1 et 6.2.3, confirmé par arrêt du Tribunal fédéral 6B_244/2023 du 25 août 2023 consid. 4.2 et 4.3; décision du Bezirksgericht de Dietikon du 27 avril 2020, publié in forumpoenale 5/2022 n. 32 pp. 326 ss; AARP/249/2023 du 17 juillet 2023 consid. 2.3.4).</w:t>
      </w:r>
    </w:p>
    <w:p>
      <w:r>
        <w:rPr>
          <w:b/>
        </w:rPr>
        <w:t>E. 2.1</w:t>
      </w:r>
    </w:p>
    <w:p>
      <w:r>
        <w:t>Selon l'art. 319 al. 1 let. a CPP, le ministère public ordonne le classement de tout ou partie de la procédure lorsqu'aucun soupçon justifiant une mise en accusation n'est établi.![endif]&gt;![if&gt; Cette disposition doit être appliquée conformément à l'adage "in dubio pro duriore" . Celui-ci, qui découle du principe de la légalité (art. 5 al. 1 Cst. et 2 al. 2 CPP en relation avec les art. 319 al. 1 et 324 CPP ; ATF 138 IV 86 consid. 4.2 p. 91) et qui s'impose également à l'autorité de recours,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2.2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135 IV 76 consid. 5.2).</w:t>
      </w:r>
    </w:p>
    <w:p>
      <w:r>
        <w:rPr>
          <w:b/>
        </w:rPr>
        <w:t>E. 2.3</w:t>
      </w:r>
    </w:p>
    <w:p>
      <w:r>
        <w:t>L'art. 251 ch. 1 CP réprime le comportement de quiconque,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142 IV 119 consid. 2.1; 138 IV 130 consid. 2.1; arrêt du Tribunal fédéral 6B_55/2017 du 24 mars 2017 consid. 2.2). 2.4.1. Dans le contexte de la pandémie de coronavirus (COVID-19), les autorités fédérales ont pris de nombreuses mesures visant à atténuer les conséquences économiques de celle-ci, en particulier à éviter les licenciements massifs, à garantir le versement des salaires en cas d'absence involontaire au travail et à empêcher que des entreprises et des travailleurs indépendants solvables ne soient acculés à la faillite en raison d'un manque de liquidités. C'est ainsi qu'en date du 26 mars 2020 est entrée en vigueur l'OCaS-COVID-19, laquelle a été abrogée le 18 décembre 2020. Les mesures prévues par cette ordonnance – en vigueur au moment des faits – visaient à fournir en particulier aux travailleurs indépendants et aux petites et moyennes entreprises un accès rapide et non bureaucratique aux crédits bancaires – et donc aux liquidités – afin qu'ils puissent supporter leurs frais malgré des pertes de revenus liées à la pandémie (Commentaire de l'Administration fédérale des finances concernant l'ordonnance sur l'octroi de crédits et de cautionnements solidaires à la suite du coronavirus [ci-après, Commentaire DFF], p. 2). 2.4.2. À teneur de l'art. 3 al. 1 aOCaS-COVID-19, une organisation de cautionnement accorde sans formalités un cautionnement solidaire unique pour des crédits bancaires jusqu'à concurrence de CHF 500'000.-, notamment, si des entreprises individuelles, sociétés de personnes ou personnes morales ayant leur siège en Suisse déclarent qu'elles ont été fondées avant le 1 er mars 2020 (let. a) et qu'elles sont substantiellement affectées sur le plan économique en raison de la pandémie de COVID-19, notamment en ce qui concerne leur chiffre d'affaires (let. d). Les diminutions du chiffre d'affaires qui étaient dues à d'autres raisons, par exemple la perte du site de production en raison d'un sinistre ou la fermeture de l'entreprise pour des raisons d'hygiène, ne donnaient pas droit à une aide au sens de l'ordonnance (Commentaire DFF, p. 6). De même, une société existante qui n'avait pas d'activité avant la pandémie de COVID-19 ne pouvait avoir été durement atteinte et n'avait donc pas droit à un crédit (F. MICHELI / E. SPAHNI, Irrégularités dans les crédits COVID-19: État des lieux après trois ans de lutte contre les abus , in PJA 2023, p. 479 KELLERHALS CARRARD / BÜRGSCHAFTSGENOSSENSCHAFTEN SCHWEIZ (éds), Corona-Kredite für KMU : Umsetzung des Massnahmenpakets und Kommentierung des Covid-19 Solidarbürgschaftsgesetzes , Zurich 2021, N. 22 ad art.  25). 2.4.3. En vertu de l'art. 6 aOCaS-COVID-19, le cautionnement solidaire a pour seul but de garantir les crédits bancaires destinés à satisfaire les besoins courants en liquidités du requérant (al. 1). L'octroi d'un cautionnement solidaire est notamment exclu si le crédit à cautionner doit permettre au preneur de crédit d'effectuer de nouveaux investissements dans des actifs immobilisés qui ne constituent pas des investissements de remplacement (al. 2 let. b).</w:t>
      </w:r>
    </w:p>
    <w:p>
      <w:r>
        <w:rPr>
          <w:b/>
        </w:rPr>
        <w:t>E. 5</w:t>
      </w:r>
    </w:p>
    <w:p>
      <w:r>
        <w:t>La recourante n'a pas chiffré ni justifié de prétentions en indemnité (art. 433 al. 2 cum 436 al. 1 CPP), de sorte qu'il ne leur en sera point alloué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