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P/26076/2023 vom 6. Dezember 2023</w:t>
      </w:r>
    </w:p>
    <w:p>
      <w:r>
        <w:t>GE Cour de justice, 2023-12-06, FR</w:t>
      </w:r>
    </w:p>
    <w:p>
      <w:r>
        <w:rPr>
          <w:b/>
        </w:rPr>
        <w:t xml:space="preserve">Quelle: </w:t>
      </w:r>
      <w:r>
        <w:t>https://mcp.opencaselaw.ch/entscheid/ge_gerichte_P_26076_2023</w:t>
      </w:r>
    </w:p>
    <w:p>
      <w:r>
        <w:t>FR: GE_GERICHTE P/26076/2023 du 6 décembre 2023</w:t>
      </w:r>
    </w:p>
    <w:p>
      <w:r>
        <w:t>IT: GE_GERICHTE P/26076/2023 del 6 dicembre 2023</w:t>
      </w:r>
    </w:p>
    <w:p>
      <w:pPr>
        <w:pStyle w:val="Heading2"/>
      </w:pPr>
      <w:r>
        <w:t>Regeste</w:t>
      </w:r>
    </w:p>
    <w:p>
      <w:r>
        <w:t>DÉCISION D'IRRECEVABILITÉ;INFRACTIONS CONTRE L'HONNEUR;AVOCAT | CPP.310; CP.173; CP.174; CP.14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 3.2.1.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3.2.2. La calomnie (art. 174 CP) est une forme qualifiée de diffamation, dont elle se distingue par le fait que les allégations propagées sont fausses (arrêt du Tribunal fédéral 6B_1215/2020 du 22 avril 2021 consid. 3.1). 3.2.3.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w:t>
      </w:r>
    </w:p>
    <w:p>
      <w:r>
        <w:rPr>
          <w:b/>
        </w:rPr>
        <w:t>E. 3.3</w:t>
      </w:r>
    </w:p>
    <w:p>
      <w:r>
        <w:t>Selon la jurisprudence, des déclarations objectivement attentatoires à l'honneur peuvent être justifiées par le devoir d'alléguer des faits dans le cadre d'une procédure judiciaire (art. 55 al. 1 CPC notamment). Tant la partie que son avocat peuvent se prévaloir de l'art. 14 CP – qui prévoit que quiconque agit comme la loi l'ordonne ou l'autorise se comporte de manière licite, même si l'acte est punissable en vertu du code pénal ou d'une loi – à condition de s'être exprimé de bonne foi, de s'être limité à ce qui est nécessaire et pertinent et d'avoir présenté comme telles de simples suppositions (ATF 131 IV 154 consid. 1.3.1; 123 IV 97 consid. 2c/aa; 118 IV 248 consid. 2c et d; 116 IV 211 consid. 4a; arrêts du Tribunal fédéral 6B_541/2019 du 15 juillet 2019 consid. 2.2 et 6B_175/2007 du 24 août 2007 consid 5.1 et 5.2.).</w:t>
      </w:r>
    </w:p>
    <w:p>
      <w:r>
        <w:rPr>
          <w:b/>
        </w:rPr>
        <w:t>E. 3.4</w:t>
      </w:r>
    </w:p>
    <w:p>
      <w:r>
        <w:t>En l'espèce, il apparaît utile de rappeler que la mise en cause défend les intérêts de l'époux de la recourante dans les différentes procédures civiles opposant celui-ci à cette dernière, en particulier la procédure de divorce. Le comportement reproché consiste en deux passages d'un mémoire-réponse – déposé dans le cadre d'une procédure parallèle de mainlevée provisoire ouverte par la recourante à l'encontre de son mari –, à savoir, d'avoir écrit : que les " réelles motivations " de la recourante, lorsqu'elle avait contracté le second mariage avec son époux, étaient " exclusivement financières "; et que cette dernière avait eu pour seule préoccupation des questions financières, " notamment les expectatives successorales ". Dans ces circonstances, si les termes dénoncés ont certes une portée dépréciative, ils ne revêtent pas une intensité suffisante pour être qualifiés d'attentatoire à l'honneur. Dans le contexte sus-décrit, le fait de soutenir que la future ex-conjointe de son client, laquelle réclame des sommes considérées par celui-ci comme non dues, était mue par des motivations pécuniaires, n'est en effet pas de nature à ternir la réputation de la personne visée au point de l'exposer au mépris en tant qu'être humain. En outre, replacés dans leur contexte, les termes dénoncés paraissent justifiés sous l'angle de l'art. 14 CP, en lien avec le devoir d'allégation dans le cadre d'une procédure judiciaire. En effet, il ressort du dossier que la recourante prétend avoir conservé une créance à l'encontre du client de la mise en cause, issue du premier mariage, ce que ce dernier conteste. À titre superfétatoire, on ne saurait suivre la recourante lorsqu'elle estime que les termes utilisés à son intention assimileraient son comportement à celui d'une prostituée. Et quand bien même tel serait le cas, au vu de l'évolution jurisprudentielle, il n'est pas certain que de prétendre qu'une personne s'adonnerait à la prostitution soit attentatoire à l'honneur, le contrat de prostitution ne pouvant plus être qualifié systématiquement de contraire aux mœurs (arrêt du Tribunal fédéral 6B_572/2020 du 8 janvier 2021 consid. 5.1 et 5.2; ACPR/804/2021 du 23 novembre 2021 consid. 5.2.2). Partant, les propos tenus par la mise en cause ne peuvent être réprimés par l'art. 173 CP, ni a fortiori par l'art. 174 CP, cette infraction étant une forme qualifiée de diffamation. C'est donc à bon droit que le Ministère public n'est pas entré en matière sur la plainte déposée par la recourante. Au surplus, le grief portant sur les termes utilisés par l'ordonnance querellée dépasse le cadre du litige, qui est circonscrit à la plainte. Il ne sera dès lors pas traité.</w:t>
      </w:r>
    </w:p>
    <w:p>
      <w:r>
        <w:rPr>
          <w:b/>
        </w:rPr>
        <w:t>E. 4</w:t>
      </w:r>
    </w:p>
    <w:p>
      <w:r>
        <w:t>Justifiée, l'ordonnance querellée sera donc confirmée et le recours rejeté.</w:t>
      </w:r>
    </w:p>
    <w:p>
      <w:r>
        <w:rPr>
          <w:b/>
        </w:rPr>
        <w:t>E. 5</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