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P/25972/2019 vom 25. September 2020</w:t>
      </w:r>
    </w:p>
    <w:p>
      <w:r>
        <w:t>GE Cour de justice, 2020-09-25, FR</w:t>
      </w:r>
    </w:p>
    <w:p>
      <w:r>
        <w:rPr>
          <w:b/>
        </w:rPr>
        <w:t xml:space="preserve">Quelle: </w:t>
      </w:r>
      <w:r>
        <w:t>https://mcp.opencaselaw.ch/entscheid/ge_gerichte_P_25972_2019</w:t>
      </w:r>
    </w:p>
    <w:p>
      <w:r>
        <w:t>FR: GE_GERICHTE P/25972/2019 du 25 septembre 2020</w:t>
      </w:r>
    </w:p>
    <w:p>
      <w:r>
        <w:t>IT: GE_GERICHTE P/25972/2019 del 25 settembre 2020</w:t>
      </w:r>
    </w:p>
    <w:p>
      <w:pPr>
        <w:pStyle w:val="Heading2"/>
      </w:pPr>
      <w:r>
        <w:t>Regeste</w:t>
      </w:r>
    </w:p>
    <w:p>
      <w:r>
        <w:t>DÉCISION D'IRRECEVABILITÉ;INFRACTIONS CONTRE LA LIBERTÉ;VIOLATION DE DOMICILE;INTENTION | CPP.310; CP.186; CP.25</w:t>
      </w:r>
    </w:p>
    <w:p>
      <w:pPr>
        <w:pStyle w:val="Heading2"/>
      </w:pPr>
      <w:r>
        <w:t>Erwägungen</w:t>
      </w:r>
    </w:p>
    <w:p>
      <w:r>
        <w:rPr>
          <w:b/>
        </w:rPr>
        <w:t>E. 1</w:t>
      </w:r>
    </w:p>
    <w:p>
      <w:r>
        <w:t>Les deux recours sont recevables pour avoir été déposés selon la forme et dans le délai prescrits (art. 385 al. 1 et 396 al. 1 CPP) - les formalités de notification (art. 85 al. 2 CPP) n'ayant pas été observées -,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3.2</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L'infraction est intentionnelle. Le dol éventuel suffit (ATF 108 IV 40 ).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3.3</w:t>
      </w:r>
    </w:p>
    <w:p>
      <w:r>
        <w:t>Agit comme complice, celui qui prête intentionnellement assistance à l'auteur pour commettre un crime ou un délit (art. 25 CP). Sa peine est alors atténuée. Le complice n'est punissable qu'à la condition que l'auteur principal commette une infraction tentée ou consommée (M. DUPUIS / L. MOREILLON / C. PIGUET / S. BERGER / M. MAZOU / V. RODIGARI (éds), Code pénal - Petit commentaire, 2e éd., Bâle 2017, n. 4 ad art. 25).</w:t>
      </w:r>
    </w:p>
    <w:p>
      <w:r>
        <w:rPr>
          <w:b/>
        </w:rPr>
        <w:t>E. 3.4</w:t>
      </w:r>
    </w:p>
    <w:p>
      <w:r>
        <w:t>En l'espèce, il ressort des éléments au dossier que, depuis 2017, le mis en cause était déjà venu à une dizaine de reprises, dans les bureaux, en présence de la mise en cause et qu'à une occasion au moins, D______ avait été également présente - celle-ci l'ayant reconnu le jour des faits pour l'avoir rencontré sur place auparavant -. Ainsi, jusqu'au 7 octobre 2019, la présence du mis en cause ne semblait pas proscrite dans les locaux ou, à tout le moins, une telle interdiction n'avait pas été portée à sa connaissance. Le jour des faits, fort de ce qui précède, en possession des clés remises par la mise en cause, légitime détentrice, et avec l'intention de récupérer des affaires pour cette dernière, rien n'indique que le mis en cause aurait été en mesure de savoir que sa venue contrevenait à la volonté du recourant. D'ailleurs, il a salué les personnes présentes sur les lieux et n'est reparti qu'à la suite de la demande de l'une d'elle, soit après 10 minutes. L'on peut donc valablement considérer que le mis en cause s'est senti en droit de pénétrer dans les lieux et qu'il les a quittés dès la première injonction de sortir. Il n'existe, dès lors, aucun soupçon permettant de penser qu'il aurait eu l'intention de pénétrer illicitement dans les bureaux du recourant. En l'absence de l'élément constitutif subjectif, l'infraction n'apparait pas réalisée et l'on ne voit pas ce qu'un acte d'instruction, y compris les auditions sollicitées, pourrait apporter comme élément complémentaire pertinent à cet égard. En outre, bien que le mobile ne constitue pas l'un des éléments constitutifs de la violation de domicile (arrêt du Tribunal fédéral 6B_1056/2013 du 20 août 2014 consid. 2.3), aucun élément au dossier ne permet de douter de la version donnée par le mis en cause sur la raison de sa présence dans les locaux. Bien au contraire, les propos de C______ et de D______, rapportés par le recourant, corroborent le fait qu'il était effectivement venu uniquement pour prendre des affaires de sa compagne, dès lors qu'il s'est directement dirigé vers le bureau de celle-ci. Rien n'indique non plus qu'il se soit rendu à un autre endroit du bureau, à l'exception des toilettes. Les doutes soulevés par le recourant à cet égard, notamment relatif à la "fouille" dans ses documents confidentiels ou ses suppositions quant à ce qui se serait passé en l'absence de réaction de D______, ne reposent sur aucun élément objectif. Partant, concernant le mis en cause, la décision querellée ne prête pas le flanc à la critique et doit être confirmée. Nul n'est dès lors besoin d'analyser l'application subsidiaire de l'art. 52 CP, bien qu'au regard de ce qui précède, cette norme pourrait trouver application, dans l'hypothèse où les éléments constitutifs de l'art. 186 CP seraient réalisés.</w:t>
      </w:r>
    </w:p>
    <w:p>
      <w:r>
        <w:rPr>
          <w:b/>
        </w:rPr>
        <w:t>E. 3.5</w:t>
      </w:r>
    </w:p>
    <w:p>
      <w:r>
        <w:t>S'agissant de la mise en cause, conformément à la doctrine précitée et compte tenu de l'absence de commission de l'infraction dénoncée par l'auteur principal, elle ne peut être punie en qualité de complice. En conséquence, la décision querellée concernant la mise en cause ne prête pas non plus le flanc à la critique.</w:t>
      </w:r>
    </w:p>
    <w:p>
      <w:r>
        <w:rPr>
          <w:b/>
        </w:rPr>
        <w:t>E. 4</w:t>
      </w:r>
    </w:p>
    <w:p>
      <w:r>
        <w:t>Justifiées, les ordonnances querellées seront donc confirmées.</w:t>
      </w:r>
    </w:p>
    <w:p>
      <w:r>
        <w:rPr>
          <w:b/>
        </w:rPr>
        <w:t>E. 5</w:t>
      </w:r>
    </w:p>
    <w:p>
      <w:r>
        <w:t>Le recourant, qui succombe, supportera les frais envers l'État, qui seront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