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P/25827/2024 vom 9. April 2025</w:t>
      </w:r>
    </w:p>
    <w:p>
      <w:r>
        <w:t>GE Cour de justice, 2025-04-09, FR</w:t>
      </w:r>
    </w:p>
    <w:p>
      <w:r>
        <w:rPr>
          <w:b/>
        </w:rPr>
        <w:t xml:space="preserve">Quelle: </w:t>
      </w:r>
      <w:r>
        <w:t>https://mcp.opencaselaw.ch/entscheid/ge_gerichte_P_25827_2024</w:t>
      </w:r>
    </w:p>
    <w:p>
      <w:r>
        <w:t>FR: GE_GERICHTE P/25827/2024 du 9 avril 2025</w:t>
      </w:r>
    </w:p>
    <w:p>
      <w:r>
        <w:t>IT: GE_GERICHTE P/25827/2024 del 9 aprile 2025</w:t>
      </w:r>
    </w:p>
    <w:p>
      <w:pPr>
        <w:pStyle w:val="Heading2"/>
      </w:pPr>
      <w:r>
        <w:t>Regeste</w:t>
      </w:r>
    </w:p>
    <w:p>
      <w:r>
        <w:t>ORDONNANCE DE NON-ENTRÉE EN MATIÈRE;LÉSION CORPORELLE PAR NÉGLIGENCE | CPP.310.al1.leta; CP.125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Bien qu'il ne précise pas quelle(s) infraction(s) les faits dénoncés – une dégradation de sa vue en raison de " l'incompétence du service médical " ou encore le fait d'avoir été entravé dans son " droit fondamental de lire et écrire "– seraient susceptibles de réaliser, on peut inférer de ses doléances qu'il entend se plaindre de lésions corporelles par négligence (art. 125 CP).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surplus, les dispositions sur le classement de la procédure sont applicables (al. 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rPr>
          <w:b/>
        </w:rPr>
        <w:t>E. 3.2</w:t>
      </w:r>
    </w:p>
    <w:p>
      <w:r>
        <w:t>L'art. 125 CP réprime le comportement de quiconque, par négligence, fait subir à une personne une atteinte à l'intégrité corporelle ou à la santé. Elle suppose la réalisation de trois conditions : une négligence, une atteinte à l'intégrité physique et un lien de causalité naturelle et adéquate entre ces deux éléments. Les lésions corporelles par négligence constituent une infraction de résultat, qui suppose en général une action, mais qui, conformément à l'art. 11 al. 1 CP, peut aussi être réalisée par le fait d'un comportement passif contraire à une obligation d'agir.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143 IV 138 consid. 2.1 ; 133 IV 158 consid. 5.1).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264 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w:t>
      </w:r>
    </w:p>
    <w:p>
      <w:r>
        <w:rPr>
          <w:b/>
        </w:rPr>
        <w:t>E. 3.3</w:t>
      </w:r>
    </w:p>
    <w:p>
      <w:r>
        <w:t>Conformément à l'art. 29 du règlement sur le régime intérieur de la prison et le statut des personnes incarcérées du 30 septembre 1985 (RRIP; F 1.50.04), le service médical est assuré par la division de médecine pénitentiaire (al. 1). Il prodigue des soins en permanence (al. 2).</w:t>
      </w:r>
    </w:p>
    <w:p>
      <w:r>
        <w:rPr>
          <w:b/>
        </w:rPr>
        <w:t>E. 3.4</w:t>
      </w:r>
    </w:p>
    <w:p>
      <w:r>
        <w:t>Aux termes de l'art. 30 al. 1 RRIP, le détenu est soumis à un examen médical : à sa demande (let. a); lorsque son état de santé est susceptible de présenter un danger pour lui-même ou pour autrui (let. b).</w:t>
      </w:r>
    </w:p>
    <w:p>
      <w:r>
        <w:rPr>
          <w:b/>
        </w:rPr>
        <w:t>E. 3.5</w:t>
      </w:r>
    </w:p>
    <w:p>
      <w:r>
        <w:t>En l'espèce, le recourant soutient que sa vue aurait diminué du fait de l'absence d'intervention du service médical de la prison, lequel aurait ignoré ses problèmes de vue, l'obligeant à " forcer sur ses yeux " pendant une période prolongée. Le rôle du service médical précité est avant tout de prodiguer des soins à un détenu en cas de danger pour sa santé ou celle d'autrui, et non de lui fournir des moyens auxiliaires ou des prestations en tout point identiques à celles qu'il pourrait obtenir s'il se trouvait en liberté. À cet égard, la remise, à brève échéance, à une personne incarcérée d'une nouvelle paire de lunettes, qui plus est en présence d'une baisse somme toute relativement modérée de la vue – telle que l'allègue le recourant –, ne fait visiblement pas partie du catalogue des prestations auxquelles une personne détenue peut prétendre. Une telle obligation n'incombait ainsi pas au service mis en cause. Faute de la réalisation d'un des éléments constitutifs de l'infraction de lésions corporelles par négligence, c'est à bon droit que le Ministère public n'est pas entré en matière sur la plainte du recourant.</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