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P/25827/2022 vom 14. Februar 2023</w:t>
      </w:r>
    </w:p>
    <w:p>
      <w:r>
        <w:t>GE Cour de justice, 2023-02-14, FR</w:t>
      </w:r>
    </w:p>
    <w:p>
      <w:r>
        <w:rPr>
          <w:b/>
        </w:rPr>
        <w:t xml:space="preserve">Quelle: </w:t>
      </w:r>
      <w:r>
        <w:t>https://mcp.opencaselaw.ch/entscheid/ge_gerichte_P_25827_2022</w:t>
      </w:r>
    </w:p>
    <w:p>
      <w:r>
        <w:t>FR: GE_GERICHTE P/25827/2022 du 14 février 2023</w:t>
      </w:r>
    </w:p>
    <w:p>
      <w:r>
        <w:t>IT: GE_GERICHTE P/25827/2022 del 14 febbraio 2023</w:t>
      </w:r>
    </w:p>
    <w:p>
      <w:pPr>
        <w:pStyle w:val="Heading2"/>
      </w:pPr>
      <w:r>
        <w:t>Regeste</w:t>
      </w:r>
    </w:p>
    <w:p>
      <w:r>
        <w:t>SOUPÇON;DOMMAGES À LA PROPRIÉTÉ(DROIT PÉNAL) | CPP.310</w:t>
      </w:r>
    </w:p>
    <w:p>
      <w:pPr>
        <w:pStyle w:val="Heading2"/>
      </w:pPr>
      <w:r>
        <w:t>Erwägungen</w:t>
      </w:r>
    </w:p>
    <w:p>
      <w:r>
        <w:rPr>
          <w:b/>
        </w:rPr>
        <w:t>E. 1.1</w:t>
      </w:r>
    </w:p>
    <w:p>
      <w:r>
        <w:t>Le recours est recevable pour avoir été déposé selon la forme et dans le délai prescrits (art. 91 al. 4,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1.2</w:t>
      </w:r>
    </w:p>
    <w:p>
      <w:r>
        <w:t>Les courriers de la recourante des 13, 15 et 30 janvier 2023, en tant qu'ils énonceraient des éléments de preuve nouveaux à l'appui des faits énoncés dans la plainte pénale et son complément,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 ème éd., Bâle 2019, n. 9 ad art. 310). Parmi les motifs de fait, on trouve l'impossibilité d'identifier l'auteur ( op.cit. n.9a ad 310; cf. aussi ACPR/918/2019 du 20 novembre 2019 consid. 4.1 et ACPR/744/2022 du 1 er novembre 2022 consid. 3.1.).</w:t>
      </w:r>
    </w:p>
    <w:p>
      <w:r>
        <w:rPr>
          <w:b/>
        </w:rPr>
        <w:t>E. 3.2</w:t>
      </w:r>
    </w:p>
    <w:p>
      <w:r>
        <w:t>En l'espèce, les constatations effectuées par la police sur la porte palière de l'appartement de la recourante, sur laquelle des déprédations auraient été prétendument commises par son voisinage, n'ont pas permis de déterminer quand les dommages auraient été causés et par qui. La recourante ne fournit aucun indice probant à cet égard, ses soupçons sur le dénommé "M. D______" n'étant étayés par aucun élément objectif suffisant. Les autres déprédations, voire disparation d'objet, dans son appartement ne sont pas objectivées non plus. Pour autant qu'elles soient avérées, rien ne permettrait par ailleurs d'en identifier le ou les auteurs, les soupçons portés par l'intéressée sur ses voisins n'étant pas suffisants. S'agissant des faits dénoncés, que la recourante impute aux habitants de son immeuble, force est de constater qu'ils ne sont nullement rendus même vraisemblables, faute de tout indice probant, tels constats médicaux notamment en lien avec les violences physiques et sexuelles alléguées. La photographie, de surcroît floue, d'un véhicule garé dans une rue (inconnue) ne constitue pas un élément de preuve sérieux. Quant aux faits qui se seraient produits lorsque la recourante était enfant ou adolescente, ils n'ont pas eu lieu à Genève ou en Suisse – ce qui rend les autorités de poursuite et judiciaire genevoises incompétentes pour en connaître – et seraient au demeurant prescrits, vu leur ancienneté. Partant, dans son résultat, l'ordonnance querellée a été rendue à bon droit.</w:t>
      </w:r>
    </w:p>
    <w:p>
      <w:r>
        <w:rPr>
          <w:b/>
        </w:rPr>
        <w:t>E. 4</w:t>
      </w:r>
    </w:p>
    <w:p>
      <w:r>
        <w:t>Le recours est ainsi rejeté.</w:t>
      </w:r>
    </w:p>
    <w:p>
      <w:r>
        <w:rPr>
          <w:b/>
        </w:rPr>
        <w:t>E. 5</w:t>
      </w:r>
    </w:p>
    <w:p>
      <w:r>
        <w:t>La recourante,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