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P/257/2020 vom 7. November 2022</w:t>
      </w:r>
    </w:p>
    <w:p>
      <w:r>
        <w:t>GE Cour de justice, 2022-11-07, FR</w:t>
      </w:r>
    </w:p>
    <w:p>
      <w:r>
        <w:rPr>
          <w:b/>
        </w:rPr>
        <w:t xml:space="preserve">Quelle: </w:t>
      </w:r>
      <w:r>
        <w:t>https://mcp.opencaselaw.ch/entscheid/ge_gerichte_P_257_2020</w:t>
      </w:r>
    </w:p>
    <w:p>
      <w:r>
        <w:t>FR: GE_GERICHTE P/257/2020 du 7 novembre 2022</w:t>
      </w:r>
    </w:p>
    <w:p>
      <w:r>
        <w:t>IT: GE_GERICHTE P/257/2020 del 7 novembre 2022</w:t>
      </w:r>
    </w:p>
    <w:p>
      <w:pPr>
        <w:pStyle w:val="Heading2"/>
      </w:pPr>
      <w:r>
        <w:t>Regeste</w:t>
      </w:r>
    </w:p>
    <w:p>
      <w:r>
        <w:t>CONSTATATION DES FAITS;INFRACTIONS CONTRE LE PATRIMOINE;INFRACTIONS CONTRE LA LIBERTÉ;BAIL À LOYER | CPP.393; CPP.310; CP.156; CP.181; CO.263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![endif]&gt;![if&gt; Tel est le cas en l'occurrence, au vu des considérations qui suivent.</w:t>
      </w:r>
    </w:p>
    <w:p>
      <w:r>
        <w:rPr>
          <w:b/>
        </w:rPr>
        <w:t>E. 3</w:t>
      </w:r>
    </w:p>
    <w:p>
      <w:r>
        <w:t>Le recourant reproche au Ministère public d'avoir fait preuve d'arbitraire en constatant de manière inexacte les faits (art. 393 al. 2 let. b CPP).![endif]&gt;![if&gt; Dès lors que la Chambre de céans dispose d'un plein pouvoir de cognition en droit, en fait et en opportunité (art. 393 al. 2 CPP) (ATF 137 I 195 consid. 2.3.2; arrêt du Tribunal fédéral 1B_524/2012 du 15 novembre 2012 consid. 2.1), les éventuelles constatations incomplètes ou inexactes du Ministère public auront été corrigées dans l'état de fait établi ci-avant. Partant, ce grief sera rejeté.</w:t>
      </w:r>
    </w:p>
    <w:p>
      <w:r>
        <w:rPr>
          <w:b/>
        </w:rPr>
        <w:t>E. 4</w:t>
      </w:r>
    </w:p>
    <w:p>
      <w:r>
        <w:t>Le recourant reproche au Ministère public de ne pas être entré en matière concernant la tentative d'extorsion et de chantage ou, à tout le moins, celle de contrainte.![endif]&gt;![if&gt;</w:t>
      </w:r>
    </w:p>
    <w:p>
      <w:r>
        <w:rPr>
          <w:b/>
        </w:rPr>
        <w:t>E. 4.1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![endif]&gt;![if&gt; Cette disposition doit être appliquée conformément à l'adage in dubio pro duriore . Celui-ci découle du principe de la légalité (art. 5 al. 1 Cst. et art. 2 al. 2 CPP en relation avec les art. 319 al. 1 et 324 al. 1 CPP)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(Y. JEANNERET / A. KUHN / C. PERRIER DEPEURSINGE (éds), Commentaire romand : Code de procédure pénale suisse, 2ème éd., Bâle 2019, n. 10 ad art. 310).</w:t>
      </w:r>
    </w:p>
    <w:p>
      <w:r>
        <w:rPr>
          <w:b/>
        </w:rPr>
        <w:t>E. 4.2</w:t>
      </w:r>
    </w:p>
    <w:p>
      <w:r>
        <w:t>Se rend coupable de contrainte selon l'art. 181 CP celui qui, en usant de violence envers une personne ou en la menaçant d'un dommage sérieux, ou en l'entravant de quelque autre manière dans sa liberté d'action, l'aura obligée à faire, ne pas faire ou à laisser faire un acte. ![endif]&gt;![if&gt;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A cet égard, le but d'obtenir une reconnaissance de dette ou de recouvrir une créance n'est pas illicite, même lorsque l'auteur doute de la créance. De même, réclamer le paiement d'une créance ou menacer de déposer une plainte pénale (lorsque l'on est victime d'une infraction) constitue en principe des actes licites; ils ne le sont plus lorsque le moyen utilisé n'est pas dans un rapport raisonnable avec le but visé et constitue un moyen de pression abusif (arrêt du Tribunal fédéral 6B_415/2018 du 20 septembre 2018 consid. 2.1.3; ATF 120 IV 17 consid. 2a/bb).</w:t>
      </w:r>
    </w:p>
    <w:p>
      <w:r>
        <w:rPr>
          <w:b/>
        </w:rPr>
        <w:t>E. 4.3</w:t>
      </w:r>
    </w:p>
    <w:p>
      <w:r>
        <w:t>À teneur de l'art. 156 CP, se rend coupable d'extorsion et chantage quiconque, dans le dessein de se procurer ou de procurer à un tiers un enrichissement illégitime, aura déterminé une personne à des actes préjudiciables à ses intérêts pécuniaires ou à ceux d'un tiers, en usant de violence ou en la menaçant d'un dommage sérieux.![endif]&gt;![if&gt; Pour que cette infraction soit objectivement réalisée, il faut que l'auteur, par un moyen de contrainte, ait déterminé une personne à accomplir un acte portant atteinte à son patrimoine ou à celui d'un tiers (arrêt du Tribunal fédéral 6B_275/2016 du 9 décembre 2016 consid. 4.1).</w:t>
      </w:r>
    </w:p>
    <w:p>
      <w:r>
        <w:rPr>
          <w:b/>
        </w:rPr>
        <w:t>E. 4.4</w:t>
      </w:r>
    </w:p>
    <w:p>
      <w:r>
        <w:t>L'extorsion et le chantage, réprimés par l'art. 156 CP constituent une lex specialis de l'art. 181 CP, caractérisée par la recherche d'un enrichissement illégitime (A. MACALUSO / L. MOREILLON / N. QUELOZ (éds), Commentaire romand, Code pénal II, vol. II, Partie spéciale : art. 111-392 CP, Bâle 2017, n. 54 ad art. 181).![endif]&gt;![if&gt; Si l'auteur a ou croit avoir une prétention patrimoniale légitime à l'endroit de sa victime, on n'est pas en présence d'extorsion, mais plutôt de contrainte au sens de l'art. 181 CP (A. MACALUSO / L. MOREILLON / N. QUELOZ (éds), op. cit., n. 19 ad art. 156).</w:t>
      </w:r>
    </w:p>
    <w:p>
      <w:r>
        <w:rPr>
          <w:b/>
        </w:rPr>
        <w:t>E. 4.5</w:t>
      </w:r>
    </w:p>
    <w:p>
      <w:r>
        <w:t>Lorsque la victime ne se laisse pas intimider et n'adopte pas le comportement voulu par l'auteur, ce dernier est punissable de tentative de contrainte (art. 22 al. 1 CP; ATF 129 IV 262 consid. 2.7; 106 IV 125 consid. 2b). Pour qu'il y ait tentative de contrainte, il faut que l'auteur ait agi avec conscience et volonté, soit au moins qu'il ait accepté l'éventualité que le procédé illicite employé entrave le destinataire dans sa liberté de décision (ATF 120 IV 17 consid. 2c).</w:t>
      </w:r>
    </w:p>
    <w:p>
      <w:r>
        <w:rPr>
          <w:b/>
        </w:rPr>
        <w:t>E. 4.6</w:t>
      </w:r>
    </w:p>
    <w:p>
      <w:r>
        <w:t>Le locataire d'un local commercial peut transférer son bail à un tiers avec le consentement écrit du bailleur (art. 263 al. 1 CO). Le bailleur ne peut refuser son consentement que pour de justes motifs (al. 2). Si le bailleur donne son consentement, le tiers est subrogé au locataire (al. 3). Le locataire est libéré de ses obligations vers le bailleur. Il répond toutefois solidairement avec le tiers jusqu'à l'expiration de la durée du bail ou la résiliation de celui-ci selon le contrat ou la loi mais, dans tous les cas, pour deux ans au plus (al. 4). Doivent être considérés comme de justes motifs permettant au bailleur de refuser le transfert de bail, toutes circonstances qui, selon les règles de la bonne foi, ne permettent pas d'imposer au bailleur une relation contractuelle avec le bénéficiaire du transfert notamment : insolvabilité du bénéficiaire du transfert; prix de la remise de commerce exagéré, compromettant la solvabilité du bénéficiaire du transfert (L. THEVENOZ / F. WERRO (éds), Commentaire romand : Codes des obligations I, 3 ème éd., Bâle 2021, n. 6 ad art. 263). Si, sans justes motifs, le bailleur refuse son consentement, le locataire transférant peut saisir l'autorité paritaire de conciliation et faire constater son droit au transfert du bail; s'il subit un préjudice, le locataire peut prétendre à des dommages-intérêts (L. THEVENOZ / F. WERRO (éds), op. cit., n. 7 ad art. 263).</w:t>
      </w:r>
    </w:p>
    <w:p>
      <w:r>
        <w:rPr>
          <w:b/>
        </w:rPr>
        <w:t>E. 4.7</w:t>
      </w:r>
    </w:p>
    <w:p>
      <w:r>
        <w:t>En l'espèce, il n'est pas contesté que le recourant, lié par contrat de bail à loyer pour un local commercial d'une durée déterminée de 5 ans dès février 2019, a souhaité transférer son bail après seulement quelques mois – juillet 2019 –. Il a ainsi demandé une modification du contrat, nécessitant le consentement du bailleur (art. 263 al. 1 CO). Ce dernier a donné son autorisation, à certaines conditions, en raison du "risque débiteur du repreneur" et du fait que le recourant ne voulait pas répondre solidairement des obligations du repreneur envers le bailleur, durant plus d'une année. Ainsi, dans la mesure où le mis en cause considérait avoir une prétention légitime car issue du droit du bail (art. 263 al. 4 CO), l'infraction d'extorsion est d'emblée exclue. Par ailleurs, on ne voit pas comment le comportement dénoncé, consistant à émettre des conditions pour la modification du contrat réclamée par le cocontractant, compte tenu de la situation du repreneur présenté par ce dernier, serait illicite. Le recourant ne l'explicite au demeurant nullement. Or, il lui appartenait, si les conditions du bailleur n'étaient pas acceptables, étant rappelé que c'est lui qui était à l'origine du changement de situation, de les refuser, de trouver un autre repreneur jugé "moins risqué" pour le bailleur, d'accepter d'être solidairement responsable durant le délai légal, voire de s'adresser à l'autorité paritaire de conciliation des baux et loyers. Le fait que le recourant, de par sa situation financière difficile, se soit senti obligé d'accepter les conditions du bailleur ne rend pas illicite le comportement dénoncé. En outre, au regard des éléments avancés précédemment – risque débiteur du repreneur et limitation de la solidarité à un an –, la condition du versement de la moitié du prix de vente du fonds de commerce en garantie, soit environ CHF 44'615.- n'apparaît pas abusive compte tenu du loyer du local commercial de CHF 8'600.- par mois. Du moins le recourant ne tente-t-il pas de le démontrer. Un renvoi forfaitaire à tous les messages échangés avec le bailleur ne saurait en tenir lieu. Partant, les infractions de contrainte et d'extorsion et de chantage, même sous la forme de la tentative, ne sont pas réalisées.</w:t>
      </w:r>
    </w:p>
    <w:p>
      <w:r>
        <w:rPr>
          <w:b/>
        </w:rPr>
        <w:t>E. 5</w:t>
      </w:r>
    </w:p>
    <w:p>
      <w:r>
        <w:t>Le recourant fait également grief au Ministère public de ne pas être entré en matière concernant l'atteinte à l'honneur subie.</w:t>
      </w:r>
    </w:p>
    <w:p>
      <w:r>
        <w:rPr>
          <w:b/>
        </w:rPr>
        <w:t>E. 5.1</w:t>
      </w:r>
    </w:p>
    <w:p>
      <w:r>
        <w:t>Se rend coupable de diffamation (art. 173 al. 1 CP), celui qui, en s'adressant à un tiers, oralement ou par écrit (art. 176 CP), aura accusé une personne ou jeté sur elle le soupçon de tenir une conduite contraire à l'honneur.</w:t>
      </w:r>
    </w:p>
    <w:p>
      <w:r>
        <w:rPr>
          <w:b/>
        </w:rPr>
        <w:t>E. 5.2</w:t>
      </w:r>
    </w:p>
    <w:p>
      <w:r>
        <w:t>Le prévenu peut, toutefois, être admis à prouver que les allégations à caractère diffamatoire qu'il a articulées sont conformes à la vérité ou qu'il avait des raisons sérieuses de les tenir de bonne foi pour vraies (art. 173 ch. 2 CP). L'admission à la preuve libératoire constitue la règle. Elle ne peut être refusée que si deux conditions sont réunies cumulativement : l'auteur a agi principalement dans le but de dire du mal d'autrui et il s'est exprimé sans motif suffisant (art. 173 ch. 3 CP). La preuve de la bonne foi suppose que le prévenu établisse, premièrement, qu'il avait des raisons sérieuses de croire à ce qu'il disait et, deuxièmement, qu'il a effectivement cru à ses allégations (ATF 124 IV 149 , c.3b). La preuve de la bonne foi se distingue de la preuve de la vérité : il faut se placer au moment de la communication litigieuse et rechercher, en fonction des éléments dont l'auteur disposait à l'époque, s'il avait des raisons sérieuses de tenir de bonne foi pour vrai ce qu'il a dit. L’auteur qui ne fait que communiquer des soupçons peut se borner à établir qu’il avait des raisons suffisantes de les tenir de bonne foi pour justifiés. À l’inverse, l’auteur qui présente ses allégations comme vraies doit établir qu’il avait de bonnes raisons de le croire (ATF 116 IV 205 consid.3, JdT 1992 IV 107). La preuve est apportée lorsque l'accusé de bonne foi démontre qu'il a accompli les actes que l'on pouvait exiger de lui, selon les circonstances et sa situation personnelle, pour contrôler la véracité de ses allégations et la considérer comme établie (B. CORBOZ, Les infractions en droit suisse, Volume I , 3ème éd., 2010, n. 75, 78, 80 et 82 ad art. 173). Celui qui présente ses accusations comme étant l'expression de la vérité doit prouver qu'il avait de bonnes raisons de le croire (ATF 116 IV 205 consid. 3b). Le juge examine d'office si les conditions posées à l'art. 173 ch. 2 CP sont réalisées (M. DUPUIS / L. MOREILLON / C. PIGUET / S. BERGER / M. MAZOU / V. RODIGARI (éds), Code pénal - Petit commentaire, 2e éd., Bâle 2017, n. 35 ad art. 173).</w:t>
      </w:r>
    </w:p>
    <w:p>
      <w:r>
        <w:rPr>
          <w:b/>
        </w:rPr>
        <w:t>E. 5.3</w:t>
      </w:r>
    </w:p>
    <w:p>
      <w:r>
        <w:t>Les deux conditions de l'art. 173 ch. 3 CP sont cumulatives et doivent être interprétées de manière restrictive. L'admission de la preuve libératoire constitue la règle et elle ne peut être refusée que si l'auteur a agi principalement dans le but de dire du mal d'autrui et s'il s'est exprimé sans motif suffisant (ATF 132 IV 112 consid. 3.1; 82 IV 91 consid. 2 et 3). Lorsque la preuve de la bonne foi est apportée, l'accusé doit être acquitté (ATF 119 IV 44 consid. 3).</w:t>
      </w:r>
    </w:p>
    <w:p>
      <w:r>
        <w:rPr>
          <w:b/>
        </w:rPr>
        <w:t>E. 5.4</w:t>
      </w:r>
    </w:p>
    <w:p>
      <w:r>
        <w:t>Le caractère intrinsèquement attentatoire à l'honneur du terme "escroc" n'est pas discutable (arrêt du Tribunal fédéral 6B_870/2014 du 1er octobre 2015 consid. 1.1.).</w:t>
      </w:r>
    </w:p>
    <w:p>
      <w:r>
        <w:rPr>
          <w:b/>
        </w:rPr>
        <w:t>E. 5.5</w:t>
      </w:r>
    </w:p>
    <w:p>
      <w:r>
        <w:t>En l'occurrence, il est admis que le terme "escroc" , utilisé par le mis en cause dans un courriel adressé à des tiers, par le mis en cause, faisait référence au recourant dans le contexte du transfert du bail litigieux. Ce terme est attentatoire à l'honneur. Reste à savoir si, au moment où il a été employé, le mis en cause avait des raisons sérieuses de croire ce qu'il disait. Ses propos ont été prononcés après qu'un accord a été formalisé par écrit par le recourant – verser la moitié du produit de la vente de son fonds de commerce –; qu'un ordre de transfert y relatif a été transmis à E______ SA, intermédiaire professionnellement qualifié intervenant pour lui depuis le début de l'affaire; que des échanges sont intervenus entre E______ SA et le mis en cause, confirmant à ce dernier que la société suivrait les indications de A______, à savoir à la libération des fonds en faveur du bailleur dès le transfert de bail; qu'une facture a été émise par D______ Sàrl à cet effet, sur demande de E______ SA; et que le mis en cause a accepté le transfert de bail aux conditions, selon lui, demandées par le recourant. Dans ces circonstances et compte tenu que, selon le mis en cause, le versement du produit de la moitié du fonds de commerce avait été proposé par le recourant, il ne pouvait s'attendre à ce que ce dernier donne un contre-ordre à E______ SA, après que lui-même eut accepté le transfert de bail, et invoque soudainement une contrainte dans la passation de l'accord conclu. D'ailleurs, par la suite, le mis en cause a déposé une plainte pour escroquerie à l'encontre du recourant en raison notamment de ces faits. On peut dès lors vraisemblablement considérer que le mis en cause croyait de bonne foi, au moment où il a utilisé ces termes, avoir été astucieusement trompé par celui-là. Du reste, le Ministère public a, par ordonnance pénale du 5 juillet 2022, reconnu coupable le recourant d'escroquerie. Ce dernier y a fait opposition, certes, mais il n'en demeure pas moins que l'accusation portée par le mis en cause n'était pas d'emblée infondée, irréfléchie ou suscitée par le désir de dire du mal. Enfin, au regard de ce qui précède, rien ne laisse supposer que le mis en cause a agi sans motif suffisant, ni principalement dans le dessein de dire du mal, mais plutôt qu'il s'est exprimé dans le cadre du transfert de bail litigieux et à l'attention de l'intermédiaire en charge d'exécuter la part du contrat du recourant, soit une personne connaissant le contexte et étant impliquée. Partant, le mis en cause, au moment de rédiger ces termes, apparaît de bonne foi, de sorte qu'il ne saurait être poursuivi de l'infraction de diffamation et que, la calomnie étant une forme qualifiée de celle-là, n'est pas réalisée. C'est donc à juste titre que le Ministère public a rendu la décision querellée.</w:t>
      </w:r>
    </w:p>
    <w:p>
      <w:r>
        <w:rPr>
          <w:b/>
        </w:rPr>
        <w:t>E. 6</w:t>
      </w:r>
    </w:p>
    <w:p>
      <w:r>
        <w:t>Justifiée, l'ordonnance querellée sera donc confirmée. 5. Le recourant, qui succombe, supportera les frais envers l'État, fixés en totalité à CHF 1'500.-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