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P/25787/2019 vom 5. Dezember 2022</w:t>
      </w:r>
    </w:p>
    <w:p>
      <w:r>
        <w:t>GE Cour de justice, 2022-12-05, FR</w:t>
      </w:r>
    </w:p>
    <w:p>
      <w:r>
        <w:rPr>
          <w:b/>
        </w:rPr>
        <w:t xml:space="preserve">Quelle: </w:t>
      </w:r>
      <w:r>
        <w:t>https://mcp.opencaselaw.ch/entscheid/ge_gerichte_P_25787_2019</w:t>
      </w:r>
    </w:p>
    <w:p>
      <w:r>
        <w:t>FR: GE_GERICHTE P/25787/2019 du 5 décembre 2022</w:t>
      </w:r>
    </w:p>
    <w:p>
      <w:r>
        <w:t>IT: GE_GERICHTE P/25787/2019 del 5 dicembre 2022</w:t>
      </w:r>
    </w:p>
    <w:p>
      <w:pPr>
        <w:pStyle w:val="Heading2"/>
      </w:pPr>
      <w:r>
        <w:t>Regeste</w:t>
      </w:r>
    </w:p>
    <w:p>
      <w:r>
        <w:t>PLAINTE PÉNALE;CALCUL DU DÉLAI | CP.31; LPM.61; CPP.83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in dubio pro reo , qui découle de la présomption d'innocence, garantie par l'art. 6 ch. 2 de la Convention de sauvegarde des droits de l'homme et des libertés fondamentales (CEDH) et, sur le plan interne, par les art. 32 al. 1 de la Constitution fédérale (Cst.) et 10 al. 3 CPP, concerne tant le fardeau de la preuve que l'appréciation des preuves au sens large (ATF 144 IV 345 consid. 2.2.3.1 ; ATF 127 I 28 consid. 2a). En tant que règle sur le fardeau de la preuve, la présomption d'innocence signifie, au stade du jugement, que ce fardeau incombe à l'accusation et que le doute doit profiter au prévenu. La présomption d'innocence est violée lorsque le juge rend un verdict de culpabilité au seul motif que le prévenu n'a pas prouvé son innocence (ATF 127 I 38 consid. 2a p. 40) ou encore lorsque le juge condamne le prévenu au seul motif que sa culpabilité est plus vraisemblable que son innocence. En revanche, l'absence de doute à l'issue de l'appréciation des preuves exclut la violation de la présomption d'innocence en tant que règle sur le fardeau de la preuve (ATF 144 IV 345 consid. 2.2.3.3).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Aux termes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délictueuse fait défaut (arrêt du Tribunal fédéral 6B_1131/2018 du 21 janvier 2019 consid. 2.1 et les références citées).</w:t>
      </w:r>
    </w:p>
    <w:p>
      <w:r>
        <w:rPr>
          <w:b/>
        </w:rPr>
        <w:t>E. 2.3</w:t>
      </w:r>
    </w:p>
    <w:p>
      <w:r>
        <w:t>Aux termes de l'art. 31 CP, le droit de porter plainte se prescrit par trois mois (1 ère phr.). Le délai court du jour où l'ayant droit a connu l'auteur de l'infraction (2 ème phr.). L'observation du délai de plainte fixé à l'art. 31 CP est une condition d'exercice de l'action publique (ATF 118 IV 325 consid. 2b p. 328/329), qui justifie un refus de mettre en œuvre la poursuite pénale lorsqu'elle n'est pas réalisée, ou le prononcé d'un non-lieu lorsqu’il a été procédé à des mesures d'instruction. Le délai de trois mois pour déposer plainte commence à courir du jour où l'ayant droit a connaissance de l'auteur et – l'art. 31 CP ne le précise pas, mais cela va de soi – de l'acte délictueux, c'est-à-dire des éléments constitutifs de l'infraction, objectifs, mais également subjectifs (arrêts du Tribunal fédéral 6B_599/2014 du 15 décembre 2014 consid. 2.1 ; 6B_451/2009 du 23 octobre 2009 consid. 1.2). Lorsque la plainte est – valablement – portée contre inconnu, le délai n'a pas encore commencé à courir (ATF 142 IV 129 consid. 4.3 p. 135). Le délai de plainte de trois mois, déclenché par la connaissance de l'auteur de l'infraction, commence effectivement à courir le lendemain dès 00h00 et arrive à échéance trois mois plus tard, à la date qui correspond par son quantième à celle du jour où il a été déclenché, à 24h00 (ATF 144 IV 161 consid. 2 p. 164/165). Il convient – en cas de doute concernant le respect du délai de plainte – d'admettre que celui-ci a été respecté lorsqu'aucun indice sérieux n'indique que le plaignant aurait pu avoir connaissance plus tôt de l'acte ou de l'auteur (arrêt du Tribunal fédéral 6B_1029/2020 du 5 octobre 2021 consid. 3.1.2).</w:t>
      </w:r>
    </w:p>
    <w:p>
      <w:r>
        <w:rPr>
          <w:b/>
        </w:rPr>
        <w:t>E. 2.4</w:t>
      </w:r>
    </w:p>
    <w:p>
      <w:r>
        <w:t>Selon l’art. 146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 La tromperie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Le juge pénal n'a pas à accorder sa protection à celui qui est tombé dans un piège qu'un peu d'attention et de réflexion lui aurait permis d'éviter. L'astuce n'est ainsi pas réalisée si la dupe pouvait se protéger avec un minimum d'attention ou éviter l'erreur avec le minimum de prudence que l'on pouvait attendre d'elle. Une coresponsabilité de la dupe n'exclut l'astuce quand dans des cas exceptionnels, à savoir si cette dernière n'a pas procédé aux vérifications élémentaires, exigibles de sa part au vu des circonstances.</w:t>
      </w:r>
    </w:p>
    <w:p>
      <w:r>
        <w:rPr>
          <w:b/>
        </w:rPr>
        <w:t>E. 2.5</w:t>
      </w:r>
    </w:p>
    <w:p>
      <w:r>
        <w:t>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tant le faux matériel que le faux intellectuel.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p. 377).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 L'auteur doit vouloir utiliser le titre en le faisant passer pour véridique dans les relations juridiques, ce qui présuppose l'intention de tromper. L'avantage recherché, respectivement l'atteinte, doit précisément résulter de l'usage du titre faux, respectivement mensonger (ATF 141 IV 369 consid. 7.4 p. 377 ; 138 IV 130 consid. 3.2.4 p. 141 et les références citées ; arrêt du Tribunal fédéral 6B_496/2017 du 24 janvier 2018 consid. 2.2). L'art. 251 CP vise non seulement un titre faux ou la falsification d'un titre (faux matériel), mais aussi un titre mensonger (faux intellectuel ; ATF 126 IV 65 consid. 2a p. 67 ; arrêt du Tribunal fédéral 6B_659/2014 du 22 décembre 2017 consid. 18.1.1).</w:t>
      </w:r>
    </w:p>
    <w:p>
      <w:r>
        <w:rPr>
          <w:b/>
        </w:rPr>
        <w:t>E. 2.6</w:t>
      </w:r>
    </w:p>
    <w:p>
      <w:r>
        <w:t>À teneur de l’art. 61 al. 1 lettre b de la Loi sur la protection des marques (LPM), sur plainte du lésé, est puni d’une peine privative de liberté d’un an au plus ou d’une peine pécuniaire celui qui, intentionnellement, viole le droit à la marque d’autrui en utilisant la marque usurpée, contrefaite ou imitée pour offrir ou mettre en circulation des produits, fournir des services, importer, exporter ou faire transiter des produits, les entreposer en vue de leur mise en circulation ou faire de la publicité en leur faveur ou offrir des services ou faire de la publicité en leur faveur. L’art. 62 al. 1 let. b de cette loi prévoit la même sanction, également sur plainte, pour celui qui offre ou met en circulation comme originaux des produits désignés illicitement par la marque d’un tiers ou offre ou fournit comme originaux des services désignés par la marque d’un tiers.</w:t>
      </w:r>
    </w:p>
    <w:p>
      <w:r>
        <w:rPr>
          <w:b/>
        </w:rPr>
        <w:t>E. 2.7</w:t>
      </w:r>
    </w:p>
    <w:p>
      <w:r>
        <w:t>En l’espèce, il ressort des pièces produites par la partie plaignante qu’elle n’a eu connaissance de tous les éléments de l’infraction qu’en février 2020, lorsque ses employés spécialisés ont été en mesure de confirmer formellement la contrefaçon. Même s’il fallait retenir qu’elle avait connaissance de l’infraction dès le courriel envoyé par la police le 23 décembre 2019 (lequel ne mentionnait aucun nom, et ne pouvait donc pas faire partir le délai de plainte, cf. supra consid. 2.3), la partie plaignante a démontré que ce courriel n’a été porté à sa connaissance que le 6 janvier 2020 au plus tôt en raison de la fermeture annuelle de l’entreprise. La plainte déposée le 27 mars 2020 l’a donc été en temps utile.</w:t>
      </w:r>
    </w:p>
    <w:p>
      <w:r>
        <w:rPr>
          <w:b/>
        </w:rPr>
        <w:t>E. 2.8</w:t>
      </w:r>
    </w:p>
    <w:p>
      <w:r>
        <w:t>L’appelant ne conteste pas que la montre qu’il a cherché à vendre était contrefaite ; il affirme toutefois l’avoir ignoré de bonne foi. Cet argument ne résiste toutefois pas à l’examen. En effet, il est clairement mis en cause par son comparse (C______) avec lequel il a été arrêté et qui explique que l’appelant savait pertinemment avoir affaire à des contrefaçons. Cette mise en cause est confortée par les messages échangés par l’appelant avec N______ ; s’il est regrettable que le message oral n’ait pas pu être enregistré, il n’y a pas de raison de mettre en doute sa teneur, attestée par le policier qui l’a entendu, étant relevé que l’appelant ne l’a d’ailleurs pas contestée mais a au contraire fourni une explication sur cet échange. Les circonstances de son interpellation – en possession d’une montre contrefaite, alors que son comparse l’attendait dans la voiture avec une autre contrefaçon, l’utilisation d’un raccordement téléphonique enregistré au nom d’un tiers pour publier l’annonce, les différentes explications sur le fait de vouloir éviter d’être contrôlé – sont autant d’éléments qui renforcent les déclarations de son comparse. Enfin, l’appelant a lui-même déclaré avoir cru qu’une contrefaçon n’était pas illicite, cherchant apparemment par ces propos à se dédouaner et à faire une distinction entre falsification et contrefaçon qui n’a pas lieu d’être. L’appelant se prévaut ainsi en vain d’une erreur, dans la mesure où il savait sa marchandise contrefaite. Les faits sont indubitablement constitutifs d’une tentative d’escroquerie, dans la mesure où les potentielles victimes étaient mises en confiance par l’utilisation de documents falsifiés de bonne facture, laissant à penser à une réelle occasion de seconde main : la tromperie était ainsi astucieuse. L’utilisation de ces faux documents, faux matériels provenant soi-disant d’un marchand ayant pignon sur rue à Genève, destinés et aptes à prouver l’authenticité de la montre vendue, est constitutive d’un usage de faux au sens de l’art. 251 CP. Enfin, en proposant à la vente, puis en tentant de vendre des montres portant la marque B______, l’appelant a contrevenu aux dispositions idoines de la LPM. Le verdict de culpabilité doit ainsi être intégralement confirmé.</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w:t>
      </w:r>
    </w:p>
    <w:p>
      <w:r>
        <w:rPr>
          <w:b/>
        </w:rPr>
        <w:t>E. 3.2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145 IV 1 consid. 1.4 ; 144 IV 313 consid. 1.1.2).</w:t>
      </w:r>
    </w:p>
    <w:p>
      <w:r>
        <w:rPr>
          <w:b/>
        </w:rPr>
        <w:t>E. 3.3</w:t>
      </w:r>
    </w:p>
    <w:p>
      <w:r>
        <w:t>En l’espèce, la faute de l’appelant est importante. Il a agi par appât du gain facile, n’hésitant pas à monter un scénario (annonce [sur] D______.ch , téléphone au nom d’un tiers, rendez-vous à Genève), en se procurant des documents attestant faussement de l’authenticité de la montre contrefaite qu’il a tenté de faire passer pour originale. Sa situation personnelle est sans particularité et ne saurait expliquer ses agissements. Il bénéficiait d’un revenu stable et relativement confortable, même s’il devait, selon ses dires, aider ses parents et sa fratrie nécessiteux. Son entreprise semble avoir eu une activité régulière qui lui permettait de vivre. L'absence d'antécédents a, en principe, un effet neutre sur la fixation de la peine (ATF 141 IV 61 consid. 6.3.2 p. 70). L’appelant n’a manifestement pas pris la mesure des faits reprochés ; sa prise de conscience est nulle. Sa collaboration à l’enquête a été sans particularité, étant rappelé qu’il a été interpellé en flagrant délit et persiste à nier toute implication. L’appelant encourt pour l’ensemble des infractions une peine pécuniaire, qui sera assortie du sursis dont il remplit les conditions et qui lui est en tout état acquis. L’infraction la plus grave est objectivement le faux dans les titres, qui emporte une peine de base de 60 jours-amende, laquelle devrait être aggravée pour tenir compte de la tentative d’escroquerie et des infractions à la LPM. La Cour de céans est toutefois liée par l’interdiction de la reformatio in peius (art. 391 al. 2 CPP) et ne peut aller au-delà de la peine clémente prononcée par le premier juge, laquelle sera dès lors confirmée.</w:t>
      </w:r>
    </w:p>
    <w:p>
      <w:r>
        <w:rPr>
          <w:b/>
        </w:rPr>
        <w:t>E. 4</w:t>
      </w:r>
    </w:p>
    <w:p>
      <w:r>
        <w:t>L'appelant, qui succombe, supportera les frais de la procédure envers l'État (art. 428 CPP). Il sera par voie de conséquence débouté de ses conclusions en indemnisation.</w:t>
      </w:r>
    </w:p>
    <w:p>
      <w:r>
        <w:rPr>
          <w:b/>
        </w:rPr>
        <w:t>E. 5</w:t>
      </w:r>
    </w:p>
    <w:p>
      <w:r>
        <w:t>Le dispositif de la décision entreprise sera intégralement confirmé, sous réserve de la correction de la désignation de la disposition violée de la LPM, puisque le TP a, par erreur, mentionné l’art. 61 al. 2 let. b de cette loi en lieu et place de l’art. 61 al. 1 let. b LPM. Cette erreur de plume, qui n’a été relevée par aucune des parties et qui n’a nullement affecté la procédure d’appel (étant rappelé que l’ordonnance pénale valant acte d'accusation visait le bon alinéa) sera rectifiée d’office. Une telle correction relève de l’art. 83 CPP et peut en effet être effectuée par la juridiction d’appel (arrêt du Tribunal fédéral 6B_155/2019 du 29 mars 2019 consid. 1.2).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