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P/25673/2019 vom 9. Juni 2022</w:t>
      </w:r>
    </w:p>
    <w:p>
      <w:r>
        <w:t>GE Cour de justice, 2022-06-09, FR</w:t>
      </w:r>
    </w:p>
    <w:p>
      <w:r>
        <w:rPr>
          <w:b/>
        </w:rPr>
        <w:t xml:space="preserve">Quelle: </w:t>
      </w:r>
      <w:r>
        <w:t>https://mcp.opencaselaw.ch/entscheid/ge_gerichte_P_25673_2019</w:t>
      </w:r>
    </w:p>
    <w:p>
      <w:r>
        <w:t>FR: GE_GERICHTE P/25673/2019 du 9 juin 2022</w:t>
      </w:r>
    </w:p>
    <w:p>
      <w:r>
        <w:t>IT: GE_GERICHTE P/25673/2019 del 9 giugno 2022</w:t>
      </w:r>
    </w:p>
    <w:p>
      <w:pPr>
        <w:pStyle w:val="Heading2"/>
      </w:pPr>
      <w:r>
        <w:t>Regeste</w:t>
      </w:r>
    </w:p>
    <w:p>
      <w:r>
        <w:t>QUALITÉ POUR AGIR ET RECOURIR;INTÉRÊT JURIDIQUEMENT PROTÉGÉ;ENFANT;DIVORCE;POUVOIR DE REPRÉSENTATION;CLASSEMENT DE LA PROCÉDURE;HONNEUR | CP.219; CP.123; CP.174; CP.173; CPP.382; CPP.116; CPP.106; CPP.319</w:t>
      </w:r>
    </w:p>
    <w:p>
      <w:pPr>
        <w:pStyle w:val="Heading2"/>
      </w:pPr>
      <w:r>
        <w:t>Erwägungen</w:t>
      </w:r>
    </w:p>
    <w:p>
      <w:r>
        <w:rPr>
          <w:b/>
        </w:rPr>
        <w:t>E. 1</w:t>
      </w:r>
    </w:p>
    <w:p>
      <w:r>
        <w:t>Le recours a été déposé selon la forme et dans le délai prescrits (art. 385 al. 1 et 396 al. 1 CPP) à l'encontre d'une ordonnance sujette à recours auprès de la Chambre de céans (art. 393 al. 1 let. a CPP). ![endif]&gt;![if&gt;</w:t>
      </w:r>
    </w:p>
    <w:p>
      <w:r>
        <w:rPr>
          <w:b/>
        </w:rPr>
        <w:t>E. 2.1</w:t>
      </w:r>
    </w:p>
    <w:p>
      <w:r>
        <w:t>Le recourant dispose d'un intérêt juridiquement protégé à l'annulation de la décision déférée en ce qui concerne les infractions contre l'honneur invoquées (art. 173 et 174 CP), celles-ci protégeant ses intérêts individuels (art. 104 al. 1 let. b CPP; art. 382 al. 1 cum art. 115 al. 1 CPP). Le recours est donc recevable sur ces aspects.![endif]&gt;![if&gt;</w:t>
      </w:r>
    </w:p>
    <w:p>
      <w:r>
        <w:rPr>
          <w:b/>
        </w:rPr>
        <w:t>E. 2.2</w:t>
      </w:r>
    </w:p>
    <w:p>
      <w:r>
        <w:t>Reste à examiner s'il dispose de la qualité pour recourir au regard des infractions de violation du devoir d'assistance ou d'éducation (art. 219 CP) et de lésions corporelles simples (art. 123 CP) qu'il allègue avoir été commises sur D______.</w:t>
      </w:r>
    </w:p>
    <w:p>
      <w:r>
        <w:rPr>
          <w:b/>
        </w:rPr>
        <w:t>E. 2.2.1</w:t>
      </w:r>
    </w:p>
    <w:p>
      <w:r>
        <w:t>La partie dont émane le recours doit pouvoir se prévaloir d'un intérêt juridiquement protégé à l'annulation ou à la modification de la décision (art. 382 al. 1 CPP). Revêt la qualité de partie, le lésé qui déclare expressément vouloir participer à la procédure comme demandeur au civil ou au pénal (art. 104 al. 1 let. b et 118 al. 1 CPP). Le lésé est celui dont les droits sont directement touchés par une infraction (115 al. 1 CPP). Pour déterminer si une personne revêt un tel statut, il convient d'interpréter le texte de la disposition pénale enfreinte afin de savoir quel est le titulaire du bien juridique protégé (arrêt du Tribunal fédéral 6B_1185/2019 du 13 janvier 2020 consid. 2.1).</w:t>
      </w:r>
    </w:p>
    <w:p>
      <w:r>
        <w:rPr>
          <w:b/>
        </w:rPr>
        <w:t>E. 2.2.2</w:t>
      </w:r>
    </w:p>
    <w:p>
      <w:r>
        <w:t>L'art. 116 al. 2 CPP confère aux proches de la victime – soit notamment au père de la personne lésée qui, du fait d'une infraction, aurait subi une atteinte directe à son intégrité physique/psychique (art. 116 al. 1 CPP) – un statut de victime indirecte. Le droit du proche de se constituer personnellement partie plaignante implique, ce que confirme la combinaison des art. 117 al. 3 et 122 al. 2 CPP, qu'il fasse valoir des prétentions civiles propres dans la procédure pénale (ATF 139 IV 89 consid. 2.2 ; arrêt du Tribunal fédéral 6B_1105/2016 du 14 juin 2017 consid. 2.1 et 2.2 ainsi que les références citées). À défaut, la qualité de partie lui est déniée (arrêt du Tribunal fédéral 6B_1105/2016 précité). Ses prétentions doivent, en outre,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 ATF 125 III 412 consid. 2a).</w:t>
      </w:r>
    </w:p>
    <w:p>
      <w:r>
        <w:rPr>
          <w:b/>
        </w:rPr>
        <w:t>E. 2.2.3</w:t>
      </w:r>
    </w:p>
    <w:p>
      <w:r>
        <w:t>Selon l'art. 106 al. 2 CPP, une personne qui n'a pas l'exercice des droits civils est représentée par son représentant légal, soit le détenteur de l’autorité parentale ou le tuteur (Y. JEANNERET / A. KUHN / C. PERRIER DEPEURSINGE (éds), Commentaire romand : Code de procédure pénale suisse, Bâle 2019, n. 11 ad art. 106 ; L. MOREILLON / A. PAREIN-REYMOND, CPP, Code de procédure pénale, 2e éd., Bâle 2016, n. 6 et 7 ad art. 106).</w:t>
      </w:r>
    </w:p>
    <w:p>
      <w:r>
        <w:rPr>
          <w:b/>
        </w:rPr>
        <w:t>E. 2.2.4</w:t>
      </w:r>
    </w:p>
    <w:p>
      <w:r>
        <w:t>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w:t>
      </w:r>
    </w:p>
    <w:p>
      <w:r>
        <w:rPr>
          <w:b/>
        </w:rPr>
        <w:t>E. 2.2.5</w:t>
      </w:r>
    </w:p>
    <w:p>
      <w:r>
        <w:t>L’art. 123 ch. 2 al. 2 CP tend à garantir l’intégrité physique et mentale de l’enfant sur lequel l’auteur est tenu de veiller (arrêt du Tribunal fédéral 6B_892/2020 du 16 février 2021 consid. 7.2. et 8.3).</w:t>
      </w:r>
    </w:p>
    <w:p>
      <w:r>
        <w:rPr>
          <w:b/>
        </w:rPr>
        <w:t>E. 2.2.6</w:t>
      </w:r>
    </w:p>
    <w:p>
      <w:r>
        <w:t>En l'espèce, les biens juridiquement protégés par les dispositions pénales en cause appartiennent exclusivement à D______, mineur, à l'exclusion de son père. Le recourant, qui recourt en son nom propre, ne prétend pas agir en qualité de proche d'une victime présumée (art. 116 al. 2 CPP) et n'a pris aucune conclusion civile propre dans la procédure pénale ouverte ensuite de sa dénonciation. On peut, en toute hypothèse, raisonnablement douter du bien-fondé d'une éventuelle prétention en indemnisation du tort moral (art. 49 CO), la souffrance ressentie par le père dans le cas présent ne pouvant manifestement pas être comparée à celle qui pourrait exister en cas de décès de l'enfant. Par ailleurs, il n'a ni établi ni allégué être toujours détenteur de l'autorité parentale sur son fils. La Chambre de céans n'est donc pas à même de se prononcer, en l'état, sur sa capacité à agir en représentation du mineur, âgé de 11 ans, dans le cadre de la procédure. Ce nonobstant, il n'apparait pas nécessaire de recueillir des éclaircissements sur ce point, la question pouvant demeurer ouverte dans la mesure où le recours aurait de toute manière dû être rejeté sur le fond pour les motifs qui suivent.</w:t>
      </w:r>
    </w:p>
    <w:p>
      <w:r>
        <w:rPr>
          <w:b/>
        </w:rPr>
        <w:t>E. 3</w:t>
      </w:r>
    </w:p>
    <w:p>
      <w:r>
        <w:t>Le recourant conteste la réalisation des conditions du classement des infractions alléguées aux art. 123 et 219 CP. ![endif]&gt;![if&gt;</w:t>
      </w:r>
    </w:p>
    <w:p>
      <w:r>
        <w:rPr>
          <w:b/>
        </w:rPr>
        <w:t>E. 3.1</w:t>
      </w:r>
    </w:p>
    <w:p>
      <w:r>
        <w:t>Selon l'art. 319 al. 1 CPP, le ministère public ordonne le classement de tout ou partie de la procédure lorsque les éléments constitutifs d'une infraction ne sont pas réunis (let. b) ou lorsque des faits justificatifs empêchent de retenir une infraction contre le prévenu (let. c). Cette disposition doit être appliquée conformément à l'adage " in dubio pro duriore ". Celui-ci, qui découle du principe de la légalité (art. 5 al. 1 Cst. et 2 al. 2 CPP en relation avec les art. 319 al. 1 et 324 CPP; ATF 138 IV 86 consid. 4.2)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Aux termes de l'art. 219 CP, est punissable celui qui aura violé son devoir d'assister ou d'élever une personne mineure dont il aura ainsi mis en danger le développement physique ou psychique, ou qui aura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Cette obligation incombe notamment aux parents en raison de leur position de garant. Le contenu de l'obligation ne peut être défini de manière abstraite. Il appartient au juge de le déterminer, de cas en cas, en fonction des circonstances, compte tenu notamment du bien à protéger dans le cas concret, du sujet de la protection et du rapport entre le garant et la victime (ATF 125 IV 64 consid. 1a).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(arrêt du Tribunal fédéral 6B_457/2013 du 29 octobre 2013 consid. 2).</w:t>
      </w:r>
    </w:p>
    <w:p>
      <w:r>
        <w:rPr>
          <w:b/>
        </w:rPr>
        <w:t>E. 3.3</w:t>
      </w:r>
    </w:p>
    <w:p>
      <w:r>
        <w:t>L'art. 123 CP réprime les lésions du corps humain ou de la santé qui ne peuvent être qualifiées de graves au sens de l'art. 122 CP. La poursuite aura lieu d'office si l'auteur s'en est pris à une personne hors d'état de se défendre ou à une personne, notamment à un enfant, dont il avait la garde ou sur laquelle il avait le devoir de veiller (art. 123 ch. 2 al. 2 CP).</w:t>
      </w:r>
    </w:p>
    <w:p>
      <w:r>
        <w:rPr>
          <w:b/>
        </w:rPr>
        <w:t>E. 3.4</w:t>
      </w:r>
    </w:p>
    <w:p>
      <w:r>
        <w:t>En l'occurrence, il est incontesté que les parties traversent un important conflit conjugal caractérisé par de nombreuses ramifications procédurales, tant sur le plan civil que pénal. Il ressort également de la procédure que l'exercice du droit de visite du père est rendu difficile, notamment en raison du refus de l'enfant de se rendre chez ce dernier. À plusieurs occasions, la police a été contrainte d'intervenir, les parents ne parvenant pas à gérer seuls le passage du mineur de la mère au père. On ne saurait contester que l'existence de relations père-fils est un facteur favorisant le développement harmonieux de l'enfant. Toutefois, au vu de la situation inextricable et des reproches constants qui émanent des deux parents à l'égard de l'autre, il apparaît impossible de mettre sur le compte de la seule mère les difficultés que rencontre l'enfant, dès lors que c'est précisément ce conflit des deux parents qui paraît les générer. La vision réductrice du recourant, qui reproche exclusivement à son ex-compagne les troubles de leur enfant, dus, selon lui, au refus de le laisser voir ce dernier, ne trouve pas d'assise dans le dossier. Le recourant ne prouve nullement que la mère faillit à ses devoirs d'assistance ou d'éducation d'une façon à rendre applicable la disposition en cause. Au contraire, elle semble plus encline que lui à encourager l'enfant à se rendre chez son père, celui-ci se montrant opposé à toute négociation sur l'exercice du droit de visite, indépendamment de la volonté du mineur. Le recourant semble être guidé essentiellement par la défense de ses prérogatives parentales, plutôt que par une réelle inquiétude quant au développement de l'enfant, même lorsqu'il est face à des policiers, tel que cela ressort des rapports d'intervention au dossier. Au vu de ce qui précède, il apparaît que les conditions de réalisation de l'infraction à l'art. 219 CP ne sont pas réalisées. Aucun acte d'instruction supplémentaire ne permettrait de parvenir à une conclusion différente, les éléments du dossier étant suffisants pour établir les faits, étant relevé que le recourant n'en propose d'ailleurs pas.</w:t>
      </w:r>
    </w:p>
    <w:p>
      <w:r>
        <w:rPr>
          <w:b/>
        </w:rPr>
        <w:t>E. 3.5</w:t>
      </w:r>
    </w:p>
    <w:p>
      <w:r>
        <w:t>Le même raisonnement peut être suivi pour l'infraction alléguée à l'art. 123 ch. 2 al. 2 CP. Le recourant ne démontre pas l'existence de lésions corporelles commises sur l'enfant par la mère, ni ne rend vraisemblable une telle atteinte. Partant, le Ministère public était fondé à classer les faits sous l'angle des deux infractions considérées.</w:t>
      </w:r>
    </w:p>
    <w:p>
      <w:r>
        <w:rPr>
          <w:b/>
        </w:rPr>
        <w:t>E. 4</w:t>
      </w:r>
    </w:p>
    <w:p>
      <w:r>
        <w:t>Le recourant estime encore que la prévenue aurait dû être mise en prévention des chefs d'accusation de calomnie (art. 174 CP), subsidiairement de diffamation (art. 173 CP).</w:t>
      </w:r>
    </w:p>
    <w:p>
      <w:r>
        <w:rPr>
          <w:b/>
        </w:rPr>
        <w:t>E. 4.1</w:t>
      </w:r>
    </w:p>
    <w:p>
      <w:r>
        <w:t>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rPr>
          <w:b/>
        </w:rPr>
        <w:t>E. 4.2</w:t>
      </w:r>
    </w:p>
    <w:p>
      <w:r>
        <w:t>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p. 179). Le fait de s'adresser à une autorité ne confère par ailleurs pas au dénonciateur le droit de porter atteinte à l'honneur d'autrui; il doit agir de bonne foi et avoir des raisons suffisantes de concevoir les soupçons qu'il communique. La défense d'un intérêt légitime allège cependant le devoir de vérification qui incombe à celui qui s'adresse à la police ou à une autre autorité, en sachant que celle-ci va procéder à un contrôle approfondi et dénué de préjugés. Dans certaines circonstances, des faits justificatifs légaux peuvent par ailleurs supprimer les exigences de vérification de l'art. 173 ch. 2 CP, ce qui est par exemple le cas de l'art. 14 CP, qui traite des actes – licites – ordonnés ou autorisés par la loi. Ainsi, la jurisprudence admet que le devoir procédural d'alléguer les faits constitue un devoir de s'exprimer au sens de l'art. 14 CP et qu'une partie peut invoquer cette disposition à la condition de s'être exprimée de bonne foi, de s'être limitée aux déclarations nécessaires et pertinentes et d'avoir présenté comme telles de simples suppositions (arrêts du Tribunal fédéral 6B_541/2019 du 15 juillet 2019 consid. 2.2 et 6B_175/2007 du 24 août 2007 consid 5.1 et 5.2. et les références citées).</w:t>
      </w:r>
    </w:p>
    <w:p>
      <w:r>
        <w:rPr>
          <w:b/>
        </w:rPr>
        <w:t>E. 4.3</w:t>
      </w:r>
    </w:p>
    <w:p>
      <w:r>
        <w:t>En l'espèce, le recourant reproche à son ex-épouse d'avoir relaté une version fausse et attentatoire à son honneur des évènements des 22 et 23 décembre 2019 dans son mémoire de réponse rédigé dans le cadre d'un appel formé contre l'ordonnance suspendant, sur mesures provisionnelles, son droit de visite. Par ailleurs, il se plaint que la mise en cause continue de se placer en victime de violences conjugales, alors que les accusations en ce sens formulées par le passé n'avaient pas mené à une condamnation. Il faut relever, à titre liminaire, que les allégations en cause se distinguent des faits qui ont fait l'objet des décisions de non-entrée en matière rendues en novembre 2014 (P/1______/2014) et en novembre 2015 (P/4______/2015), puisqu'il s'agit d'évènements nouveaux. Il est vrai que, dans ses allégués, la mise en cause accuse le recourant d'avoir voulu s'en prendre physiquement à elle et de l'avoir insultée ainsi que d'avoir bloqué sa voiture avec la sienne. Ces comportements sont pénalement répréhensibles, de telle sorte que ces allégations pourraient être attentatoires à l'honneur. Toutefois, les propos de la prévenue paraissent justifiés par le devoir procédural d'alléguer les faits. En effet, la mise en cause pouvait, de bonne foi, considérer que ses allégations étaient nécessaires et pertinentes dans la procédure d'appel civile. La garde sur l'enfant et les relations personnelles étaient litigieuses, ce qui impliquait que tout fait nouveau relatif à l'exercice de ces prérogatives parentales pouvait avoir une influence sur le sort de la cause. Selon toute vraisemblance, les affirmations en question ne visaient pas à accuser le recourant de violences conjugales – comme cela a pu être le cas précédemment –, mais à mettre en exergue le fait que le passage de l'enfant de la mère au père s'était déroulé dans un climat particulièrement conflictuel et, de son point de vue, violent. À cela s'ajoute que les parties s'accordent sur la quasi-totalité de l'enchaînement des évènements, à l'exception des coups sur la vitre de la voiture, des insultes et du lieu où se rendait la mise en cause avec son véhicule. Les rapports de police au dossier corroborent les versions des parties, notamment quant au refus de l'enfant d'aller chez son père. Si prévenue évoque la crainte qu'elle a ressentie face au comportement du recourant, elle ne fait aucun rapprochement avec les violences conjugales alléguées par le passé. Au demeurant, le recourant est malvenu de critiquer la pertinence des évènements de fin d'année dans la procédure civile de deuxième instance, ayant lui-même jugé nécessaire de relater ceux-ci dans son mémoire d'appel pour soutenir ses conclusions. Il ne saurait dès lors se plaindre que la mise en cause ait présenté à l'autorité d'appel sa propre version des faits. Ainsi, les propos reprochés à la mise en cause, s'ils devaient être qualifiés de diffamatoires, étaient autorisés par la loi (art. 14 CP). Il existe ainsi un fait justificatif commandant que la procédure soit classée, au sens de l'art. 319 al. 1 let. c CPP. Aucun acte d'instruction n'est susceptible de modifier cette appréciation, les faits et positions des parties étant clairement déterminés.</w:t>
      </w:r>
    </w:p>
    <w:p>
      <w:r>
        <w:rPr>
          <w:b/>
        </w:rPr>
        <w:t>E. 5</w:t>
      </w:r>
    </w:p>
    <w:p>
      <w:r>
        <w:t>Partant, l'ordonnance querellée sera confirmée et le recours rejeté.</w:t>
      </w:r>
    </w:p>
    <w:p>
      <w:r>
        <w:rPr>
          <w:b/>
        </w:rPr>
        <w:t>E. 6</w:t>
      </w:r>
    </w:p>
    <w:p>
      <w:r>
        <w:t>Le recourant, qui succombe, supportera les frais envers l'État, fixés en totalité à CHF 1'200.-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