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P/25531/2017 vom 6. Februar 2018</w:t>
      </w:r>
    </w:p>
    <w:p>
      <w:r>
        <w:t>GE Cour de justice, 2018-02-06, FR</w:t>
      </w:r>
    </w:p>
    <w:p>
      <w:r>
        <w:rPr>
          <w:b/>
        </w:rPr>
        <w:t xml:space="preserve">Quelle: </w:t>
      </w:r>
      <w:r>
        <w:t>https://mcp.opencaselaw.ch/entscheid/ge_gerichte_P_25531_2017</w:t>
      </w:r>
    </w:p>
    <w:p>
      <w:r>
        <w:t>FR: GE_GERICHTE P/25531/2017 du 6 février 2018</w:t>
      </w:r>
    </w:p>
    <w:p>
      <w:r>
        <w:t>IT: GE_GERICHTE P/25531/2017 del 6 febbraio 2018</w:t>
      </w:r>
    </w:p>
    <w:p>
      <w:pPr>
        <w:pStyle w:val="Heading2"/>
      </w:pPr>
      <w:r>
        <w:t>Regeste</w:t>
      </w:r>
    </w:p>
    <w:p>
      <w:r>
        <w:t>DÉCISION D'IRRECEVABILITÉ ; QUALITÉ POUR AGIR ET RECOURIR ; PARTIE À LA PROCÉDURE ; ESCROQUERIE ; ASSISTANCE JUDICIAIRE | CPP.310; CPP.382; CPP.104; CPP.118; CPP.136; CP.146</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w:t>
      </w:r>
    </w:p>
    <w:p>
      <w:r>
        <w:t>Le recours a été déposé selon la forme et dans le délai prescrits (art. 385 al. 1 et 396 al. 1 CPP), les formalités de notification (art. 85 al. 2 CPP) n'ayant pas été observées, et concerne une ordonnance sujette à recours auprès de la Chambre de céans (art. 393 al. 1 let. a CPP).</w:t>
      </w:r>
    </w:p>
    <w:p>
      <w:r>
        <w:rPr>
          <w:b/>
        </w:rPr>
        <w:t>E. 3.1</w:t>
      </w:r>
    </w:p>
    <w:p>
      <w:r>
        <w:t>Selon l'art. 382 al. 1 CPP, toute partie qui a un intérêt juridiquement protégé à l'annulation ou à la modification d'une décision a qualité pour recourir contre celle-ci.</w:t>
      </w:r>
    </w:p>
    <w:p>
      <w:r>
        <w:rPr>
          <w:b/>
        </w:rPr>
        <w:t>E. 3.2</w:t>
      </w:r>
    </w:p>
    <w:p>
      <w:r>
        <w:t>L'art. 104 al. 1 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classement (art. 301 al. 3 CPP ; arrêt du Tribunal fédéral 6B_252/2013 du 14 mai 2013 consid. 2.1) et on ne voit pas qu'il puisse en aller autrement s'agissant d'une ordonnance de non-entrée en matière ( ACPR/184/2014 du 2 avril 2014). Le recours d'une partie qui n'est pas concrètement lésée par la décision est en principe irrecevable (arrêt du Tribunal fédéral non publié 1B_669/2012 du 12 mars 2013, c. 2.3.1). L'intérêt juridiquement protégé à la modification ou à l'annulation de la décision résulte en règle générale du dispositif de la décision attaquée et non des motifs (L. MOREILLON / A. PAREIN-REYMOND, n. 2a et 9 ad art. 382 CPP). Il est en effet un principe général de procédure que la qualité pour interjeter un recours n'est reconnue que si le recourant est lésé personnellement par le dispositif de la décision, un recours contre les motifs de celle-ci étant irrecevable (ATF 96 IV 64 = JT 1970 IV 131 ). 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Les droits touchés sont les biens juridiques individuels tels que la vie et l'intégrité corporelle, la propriété, l'honneur, etc. (Message relatif à l'unification du droit de la procédure pénale du 21 décembre 2005, FF 2006 1148).</w:t>
      </w:r>
    </w:p>
    <w:p>
      <w:r>
        <w:rPr>
          <w:b/>
        </w:rPr>
        <w:t>E. 3.3</w:t>
      </w:r>
    </w:p>
    <w:p>
      <w:r>
        <w:t>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Pour être directement touché, l'intéressé doit subir une atteinte en rapport de causalité directe avec l'infraction poursuivie, ce qui exclut les personnes subissant un préjudice indirect ou par ricochet (arrêts du Tribunal fédéral 6B_671/2014 du 22 décembre 2017 consid. 1.2 et les références ; 1B_9/2015 du 23 juin 2015 consid. 2.3.1 et les références).</w:t>
      </w:r>
    </w:p>
    <w:p>
      <w:r>
        <w:rPr>
          <w:b/>
        </w:rPr>
        <w:t>E. 3.4</w:t>
      </w:r>
    </w:p>
    <w:p>
      <w:r>
        <w:t>En l'espèce, les recourants font grief au Ministère public de ne pas avoir retenu l'infraction d'escroquerie à leur préjudice. Le recourant, comme il ressort du contrat de vente du véhicule et de ses propres déclarations, n'est pas le détenteur du véhicule litigieux. Ainsi, n'étant pas le titulaire du bien juridique protégé, il ne peut se prévaloir d'une atteinte directe et donc de la qualité de partie plaignante. En ce qui concerne la recourante, bien qu'elle soit titulaire du bien juridique protégé, elle n'a pas déposé plainte concernant les faits litigieux et n'est pas la destinataire de la décision de non-entrée en matière rendue par le Ministère public le 6 février 2018. Elle n'est donc pas concrètement lésée par la décision en question et ne possède pas non plus la qualité pour recourir.</w:t>
      </w:r>
    </w:p>
    <w:p>
      <w:r>
        <w:rPr>
          <w:b/>
        </w:rPr>
        <w:t>E. 3.5</w:t>
      </w:r>
    </w:p>
    <w:p>
      <w:r>
        <w:t>Au vu de ce qui précède, le recours est irrecevable.</w:t>
      </w:r>
    </w:p>
    <w:p>
      <w:r>
        <w:rPr>
          <w:b/>
        </w:rPr>
        <w:t>E. 4</w:t>
      </w:r>
    </w:p>
    <w:p>
      <w:r>
        <w:t>à supposer que le recours soit recevable - le Ministère public ayant sans autre admis la qualité de lésé de A______ - il devrait néanmoins être rejeté.</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w:t>
      </w:r>
    </w:p>
    <w:p>
      <w:r>
        <w:rPr>
          <w:b/>
        </w:rPr>
        <w:t>E. 4.2</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(cf.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4.3</w:t>
      </w:r>
    </w:p>
    <w:p>
      <w:r>
        <w:t>En l'espèce, A______ et B______ estiment avoir été victimes d'escroquerie de la part du Garage C______ car la voiture achetée auprès de ce dernier avait, en réalité, plus de 288'000 kilomètres au compteur, alors qu'au moment de la vente, elle n'affichait que 134'000 kilomètres. Il ressort du témoignage de G______, ancien propriétaire du véhicule, qu'avant de vendre le véhicule au Garage C______, il avait changé lui-même le compteur et que c'était à cette occasion que le nombre de kilomètres affiché avait changé. Lors de la vente au garage, il n'avait donné aucune explication sur les défauts de véhicule, ce dernier étant destiné à être mis en pièces. Ainsi, ni D______, ni E______ n'avaient eu connaissance des défauts de la voiture, notamment du kilométrage réel. Ce fait est confirmé par leur témoignage, tous deux ayant déclaré que le véhicule avait été acheté par le garage en l'état, sans expertise et donc sans vérification du kilométrage. Par ailleurs, il ressort également du témoignage de E______, qu'aucun élément probant au dossier ne vient infirmer, que c'est A______ qui a insisté pour acquérir la voiture en l'état, alors même qu'il avait été avisé que le véhicule n'était pas expertisé. Partant, comme l'a, à juste titre, relevé le Ministère public, rien n'indique que D______ et E______ ne lui aient sciemment dissimulé des défauts, qu'il s'agisse du kilométrage ou des autres problèmes rencontrés. Il sied de relever que le Garage C______ avait offert une garantie de trois mois sur le véhicule et que E______ avait, au vu des mésaventures rencontrées par le recourant, proposé à ce dernier de reprendre le véhicule, ce qu'il avait refusé. Cette attitude semble peu compatible avec un dessein d'escroquerie. Au vu de ce qui précède, il apparaît que D______ ou E______ n'ont manifestement eu aucune intention de tromper le recourant sur le véhicule litigieux, de sorte que les infractions d'escroquerie n'apparaissent pas réalisées.</w:t>
      </w:r>
    </w:p>
    <w:p>
      <w:r>
        <w:rPr>
          <w:b/>
        </w:rPr>
        <w:t>E. 4.4</w:t>
      </w:r>
    </w:p>
    <w:p>
      <w:r>
        <w:t>Justifiée, la décision querellée sera donc confirmée.</w:t>
      </w:r>
    </w:p>
    <w:p>
      <w:r>
        <w:rPr>
          <w:b/>
        </w:rPr>
        <w:t>E. 5</w:t>
      </w:r>
    </w:p>
    <w:p>
      <w:r>
        <w:t>Les recourants sollicitent l'assistance judiciaire pour leurs frais d'avocat.</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 ACPR/339/2014 du 16 juillet 2014 ; M. NIGGLI / M. HEER / H. WIPRÄCHTIGER, Schweizerische Strafprozess-ordnung / Schweizerische Jugendstrafprozessordnung, Basler Kommentar StPO/JStPO , Bâle 2011, n. 2 ad art. 383).</w:t>
      </w:r>
    </w:p>
    <w:p>
      <w:r>
        <w:rPr>
          <w:b/>
        </w:rPr>
        <w:t>E. 5.2</w:t>
      </w:r>
    </w:p>
    <w:p>
      <w:r>
        <w:t>En l'occurrence, le recours étant irrecevable et, subsidiairement, rejeté, la cause était vouée à l'échec. Partant, la demande d'assistance judiciaire sera rejetée.</w:t>
      </w:r>
    </w:p>
    <w:p>
      <w:r>
        <w:rPr>
          <w:b/>
        </w:rPr>
        <w:t>E. 6</w:t>
      </w:r>
    </w:p>
    <w:p>
      <w:r>
        <w:t>Les recourants, qui succombent, supporteront, chacun par moitié, les frais envers l'État, qui seront fixés en totalité à CHF 800.- (art. 428 al. 1 CPP et 13 al. 1 du Règlement fixant le tarif des frais en matière pénale, RTFMP ;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