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P/2552/2013 vom 17. März 2016</w:t>
      </w:r>
    </w:p>
    <w:p>
      <w:r>
        <w:t>GE Cour de justice, 2016-03-17, FR</w:t>
      </w:r>
    </w:p>
    <w:p>
      <w:r>
        <w:rPr>
          <w:b/>
        </w:rPr>
        <w:t xml:space="preserve">Quelle: </w:t>
      </w:r>
      <w:r>
        <w:t>https://mcp.opencaselaw.ch/entscheid/ge_gerichte_P_2552_2013</w:t>
      </w:r>
    </w:p>
    <w:p>
      <w:r>
        <w:t>FR: GE_GERICHTE P/2552/2013 du 17 mars 2016</w:t>
      </w:r>
    </w:p>
    <w:p>
      <w:r>
        <w:t>IT: GE_GERICHTE P/2552/2013 del 17 marzo 2016</w:t>
      </w:r>
    </w:p>
    <w:p>
      <w:pPr>
        <w:pStyle w:val="Heading2"/>
      </w:pPr>
      <w:r>
        <w:t>Regeste</w:t>
      </w:r>
    </w:p>
    <w:p>
      <w:r>
        <w:t>CONTRAVENTION; VOL(DROIT PÉNAL); INFRACTION D'IMPORTANCE MINEURE; POUVOIR D'EXAMEN LIMITÉ; INTERDICTION DE L'ARBITRAIRE; AVEU; PROCÉDURE CONTRADICTOIRE; APPRÉCIATION ANTICIPÉE DES PREUVES; AMENDE | CPP.398.4; CPP.357; CPP.406.1.c; CPP.160; CPP.147.1; CPP.147.3; CPP.135.1; Cst.9; CP.139; CP.172ter; CP.106; CP.70.1</w:t>
      </w:r>
    </w:p>
    <w:p>
      <w:pPr>
        <w:pStyle w:val="Heading2"/>
      </w:pPr>
      <w:r>
        <w:t>Erwägungen</w:t>
      </w:r>
    </w:p>
    <w:p>
      <w:r>
        <w:rPr>
          <w:b/>
        </w:rPr>
        <w:t>E. 4</w:t>
      </w:r>
    </w:p>
    <w:p>
      <w:r>
        <w:t>4.1.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détention correspond schématiquement à CHF 100.- d'amende (R. ROTH / L. MOREILLON (éds), Code pénal I : art. 1-100 CP , Bâle 2009, n. 19 ad art. 106).</w:t>
      </w:r>
    </w:p>
    <w:p>
      <w:r>
        <w:rPr>
          <w:b/>
        </w:rPr>
        <w:t>E. 4.2</w:t>
      </w:r>
    </w:p>
    <w:p>
      <w:r>
        <w:t>En l'occurrence, l'appelante a été condamnée au paiement d'une amende de CHF 300.- (peine privative de liberté de substitution de 3 jours), dont la quotité n'est pas contestée en tant que telle. Au vu de la culpabilité de l'appelante et de sa situation personnelle, l'amende de CHF 300.- prononcée par le premier juge est adéquate, de même que la peine privative de liberté de substitution de trois jours dont elle est assortie, de sorte que le premier juge a fait une application correcte des dispositions de l'art. 106 CP. Le jugement querellé doit donc être confirmé.</w:t>
      </w:r>
    </w:p>
    <w:p>
      <w:r>
        <w:rPr>
          <w:b/>
        </w:rPr>
        <w:t>E. 5</w:t>
      </w:r>
    </w:p>
    <w:p>
      <w:r>
        <w:t>5.1. À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5.2</w:t>
      </w:r>
    </w:p>
    <w:p>
      <w:r>
        <w:t>Le premier juge a ordonné le séquestre et la confiscation du parfum figurant sous chiffre 1 de l'inventaire du 15 février 2013, en application de l'art. 69 CP. La motivation de l'arrêt laisse entendre que ce flacon doit être détruit, mais le dispositif du jugement entrepris n'ordonne aucune mesure en ce sens. Vu le verdict de culpabilité, la confiscation du parfum se justifie, étant précisé que la base légale correcte aurait été l'art. 70 al. 1 CP, lequel ne prévoit pas la destruction de l'objet saisi.</w:t>
      </w:r>
    </w:p>
    <w:p>
      <w:r>
        <w:rPr>
          <w:b/>
        </w:rPr>
        <w:t>E. 6</w:t>
      </w:r>
    </w:p>
    <w:p>
      <w:r>
        <w:t>Vu l'issue de la procédure, il n'y a pas lieu d'entrer en matière sur les prétentions en indemnisation de l'appelante fondées sur l'art. 429 CPP.</w:t>
      </w:r>
    </w:p>
    <w:p>
      <w:r>
        <w:rPr>
          <w:b/>
        </w:rPr>
        <w:t>E. 7</w:t>
      </w:r>
    </w:p>
    <w:p>
      <w:r>
        <w:t>L'appelante, qui succombe, supportera les frais de la procédure d'appel envers l'État, lesquels comprennent un émolument de jugement de CHF 1'500.- (art. 428 al. 1 CPP et art. 14 al. 1 let. e du règlement fixant le tarif des frais en matière pénale, du 22 décembre 2010 [RTFMP ; RS-GE E 4 10.03]).</w:t>
      </w:r>
    </w:p>
    <w:p>
      <w:r>
        <w:rPr>
          <w:b/>
        </w:rPr>
        <w:t>E. 8</w:t>
      </w:r>
    </w:p>
    <w:p>
      <w:r>
        <w:t>.2.1.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8.2.4.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la déclaration d'appel ne donne en principe pas lieu à indemnisation hors forfait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AARP/295/2015 du 12 juillet 2015 consid. 8.1.4.1 et 8.3.1.1 ; AARP/209/2015 du 4 mai 2015 consid. 13.4 refusant la couverture de la rédaction de conclusions civiles en appel reprenant celles déposées en première instance). En ce qui concerne les réquisitions de preuve, le simple établissement d'une liste de témoins est en règle générale considéré comme tombant sous le coup du forfait ( AARP/146/2014 du 31 mars 2014), de même que des réquisitions pas ou peu étayées. 8.3.1. En l'occurrence, s'agissant d'une contravention et de faits simples, au demeurant bien connus du défenseur d'office, intervenu tout au long du dossier, l'état de frais produit est excessif, de sorte qu'en seront retranchées : -          une heure consacrée à la rédaction de la déclaration d'appel, prestation incluse dans la majoration forfaitaire pour l'activité diverse ;![endif]&gt;![if&gt; -          quatre heures sur les neuf dédiées à la rédaction de l'appel motivé, cinq heures paraissant amplement suffisantes à cet égard (soit trois heures d'activité de cheffe d'étude et deux heures d'activité de collaborateur).![endif]&gt;![if&gt; 8.3.2. L'indemnité de M e B______, défenseur d'office de A______, sera ainsi arrêtée au solde intermédiaire de CHF 1'150.-, correspondant à quatre heures et trente minutes d'activité de cheffe d'étude et deux heures d'activité de collaborateur, auxquelles il convient de rajouter la majoration forfaitaire usuelle de 20% (CHF 230.-) et la TVA à 8% (CHF 110.40), soit un total de CHF 1'490.40.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