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P/25517/2019 vom 10. Mai 2021</w:t>
      </w:r>
    </w:p>
    <w:p>
      <w:r>
        <w:t>GE Cour de justice, 2021-05-10, FR</w:t>
      </w:r>
    </w:p>
    <w:p>
      <w:r>
        <w:rPr>
          <w:b/>
        </w:rPr>
        <w:t xml:space="preserve">Quelle: </w:t>
      </w:r>
      <w:r>
        <w:t>https://mcp.opencaselaw.ch/entscheid/ge_gerichte_P_25517_2019</w:t>
      </w:r>
    </w:p>
    <w:p>
      <w:r>
        <w:t>FR: GE_GERICHTE P/25517/2019 du 10 mai 2021</w:t>
      </w:r>
    </w:p>
    <w:p>
      <w:r>
        <w:t>IT: GE_GERICHTE P/25517/2019 del 10 maggio 2021</w:t>
      </w:r>
    </w:p>
    <w:p>
      <w:pPr>
        <w:pStyle w:val="Heading2"/>
      </w:pPr>
      <w:r>
        <w:t>Regeste</w:t>
      </w:r>
    </w:p>
    <w:p>
      <w:r>
        <w:t>PRESEMPTION D'INNOCENCE;SOUPÇON;DÉPENS | CPP.310; CPP.429</w:t>
      </w:r>
    </w:p>
    <w:p>
      <w:pPr>
        <w:pStyle w:val="Heading2"/>
      </w:pPr>
      <w:r>
        <w:t>Erwägungen</w:t>
      </w:r>
    </w:p>
    <w:p>
      <w:r>
        <w:rPr>
          <w:b/>
        </w:rPr>
        <w:t>E. 1</w:t>
      </w:r>
    </w:p>
    <w:p>
      <w:r>
        <w:t>Dans la mesure où ils visent la même ordonnance - sujette à recours auprès de la Chambre de céans (art. 393 al. 1 let. a CPP) - et se fondent sur le même complexe de faits, il y a lieu de joindre les recours et de statuer sur leur sort dans un seul et même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recourants qui, étant tant prévenus que plaignants, sont parties à la procédure (art. 104 al. 1 let. a et b CPP) et ont qualité pour agir, ayant un intérêt juridiquement protégé à la modification ou à l'annulation de la décision querellée (art. 382 al. 1 CPP).</w:t>
      </w:r>
    </w:p>
    <w:p>
      <w:r>
        <w:rPr>
          <w:b/>
        </w:rPr>
        <w:t>E. 3</w:t>
      </w:r>
    </w:p>
    <w:p>
      <w:r>
        <w:t>Les recourants estiment que, vu l'avancement de la procédure, le Ministère public n'était plus en droit de rendre une ordonnance de non-entrée en matière dans le volet de la procédure ouverte à leur encontre, sans leur permettre de prendre position, et qu'il aurait dû rendre une ordonnance de classement.</w:t>
      </w:r>
    </w:p>
    <w:p>
      <w:r>
        <w:rPr>
          <w:b/>
        </w:rPr>
        <w:t>E. 3.1</w:t>
      </w:r>
    </w:p>
    <w:p>
      <w:r>
        <w:t>Le ministère public ne peut pas rendre une ordonnance de non-entrée en matière (art. 310 CPP) après avoir ouvert une instruction. Une telle ordonnance doit être rendue à réception de la plainte, et cela avant qu'il ne soit procédé à de plus amples actes d'enquête et qu'une instruction ne soit ouverte, sous réserve de quelques opérations simples de la part du ministère public au préalable (L. MOREILLON / A. PAREIN-REYMOND, Petit commentaire CPP, Bâle 2016, n. 4 ad art. 310 ; arrêt du Tribunal fédéral 1B_368/2012 du 13 mai 2013 consid. 3.2).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Il ressort de l'art. 309 al. 1 let. a CPP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 du Tribunal fédéral 6B_239/2019 du 24 avril 2019 consid. 2.1). Selon cet article, l'autorité pénale peut, en lieu et place d'une audition ou en complément de celle-ci, inviter le comparant à lui présenter un rapport écrit sur ses constatations. 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l'occurrence - comme ceci ressort sans la moindre ambiguïté de l'intitulé même du mandat confié par le Ministère public valaisan à la police de son canton -, une instruction n'a pas été ouverte. Ainsi, lorsque le Ministère public genevois a accepté le for, il a repris au même stade la procédure ouverte en Valais. L'ordonnance rendue formellement dans ce sens n'impliquait ainsi pas davantage l'ouverture d'une instruction. L'audition ultérieure des recourants sur les faits dénoncés par C______ a été effectuée dans le cadre des investigations policières et ne nécessitait pas non plus l'ouverture d'une instruction. Dans ces circonstances, la procédure n'a pas dépassé le stade des premières investigations, ce qui permettait au Ministère public de rendre une ordonnance de non-entrée en matière (arrêt du Tribunal fédéral 6B_875/2018 du 15 novembre 2018 consid. 2.2.1). Il n'avait pas à rendre d'ordonnance de classement ni à interpeller ou entendre lui-même les recourants avant de statuer. Le grief est rejeté.</w:t>
      </w:r>
    </w:p>
    <w:p>
      <w:r>
        <w:rPr>
          <w:b/>
        </w:rPr>
        <w:t>E. 4</w:t>
      </w:r>
    </w:p>
    <w:p>
      <w:r>
        <w:t>Les recourants semblent également se plaindre que l'ordonnance querellée violerait le principe de présomption d'innocence.</w:t>
      </w:r>
    </w:p>
    <w:p>
      <w:r>
        <w:rPr>
          <w:b/>
        </w:rPr>
        <w:t>E. 4.1</w:t>
      </w:r>
    </w:p>
    <w:p>
      <w:r>
        <w:t>La présomption d'innocence est consacrée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ATF 120 Ia 31 consid. 2c).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(ATF 124 I 327 consid. 3b). Une atteinte à la présomption d'innocence peut émaner non seulement d'un juge ou d'un tribunal mais aussi d'autres autorités publiques, y compris de procureurs (CourEDH Daktaras c. Lituanie du 10 octobre 2000 § 42).</w:t>
      </w:r>
    </w:p>
    <w:p>
      <w:r>
        <w:rPr>
          <w:b/>
        </w:rPr>
        <w:t>E. 4.2</w:t>
      </w:r>
    </w:p>
    <w:p>
      <w:r>
        <w:t>Lorsque la motivation d'une décision porte atteinte à la présomption d'innocence, une réparation comparable à celle prévue en cas de violation du principe de célérité sera octroyée, à savoir l'admission du recours, une constatation dans le dispositif et la mise à la charge de l'État de la totalité des frais judiciaires malgré l'issue de la procédure (ATF 137 IV 92 consid. 3.2.2 et 3.2.3; ACPR/147/2017 du 8 mars 2017 consid. 2.1, 2.2 et 2.4).</w:t>
      </w:r>
    </w:p>
    <w:p>
      <w:r>
        <w:rPr>
          <w:b/>
        </w:rPr>
        <w:t>E. 4.3</w:t>
      </w:r>
    </w:p>
    <w:p>
      <w:r>
        <w:t>En l'espèce, le Ministère public a constaté que les déclarations des parties étaient totalement contradictoires, avant de relever qu'il ne disposait, en l'état, d'aucun élément de preuve matériel permettant de fonder la culpabilité des recourants. Une telle formulation ne peut être comprise comme désignant ceux-ci en tant que coupables des accusations formulées contre eux et ne porte pas atteinte à leur présomption d'innocence. L'intitulé de l'ordonnance querellée ne contient pas non plus, en lui-même, une violation de la présomption d'innocence des recourants; au contraire, même, puisqu'il signifie qu'aucune ouverture d'instruction n'a été nécessaire pour statuer sur le bien-fondé des accusations portées contre eux. Ce grief est également rejeté.</w:t>
      </w:r>
    </w:p>
    <w:p>
      <w:r>
        <w:rPr>
          <w:b/>
        </w:rPr>
        <w:t>E. 5</w:t>
      </w:r>
    </w:p>
    <w:p>
      <w:r>
        <w:t>Les recourants reprochent au Ministère public de ne pas être entré en matière sur leurs plaintes pour diffamation et calomnie.</w:t>
      </w:r>
    </w:p>
    <w:p>
      <w:r>
        <w:rPr>
          <w:b/>
        </w:rPr>
        <w:t>E. 5.1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5.2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5.3</w:t>
      </w:r>
    </w:p>
    <w:p>
      <w:r>
        <w:t>À teneur de l'art. 174 ch. 1 CP est poursuivi, sur plainte,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Par ailleurs, cela suppose implicitement que le fait allégué fût objectivement faux.</w:t>
      </w:r>
    </w:p>
    <w:p>
      <w:r>
        <w:rPr>
          <w:b/>
        </w:rPr>
        <w:t>E. 5.4</w:t>
      </w:r>
    </w:p>
    <w:p>
      <w:r>
        <w:t>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w:t>
      </w:r>
    </w:p>
    <w:p>
      <w:r>
        <w:rPr>
          <w:b/>
        </w:rPr>
        <w:t>E. 5.5</w:t>
      </w:r>
    </w:p>
    <w:p>
      <w:r>
        <w:t>En l'espèce, A______ et B______ ont expliqué avoir connu les accusations de violences dirigées contre eux lors de la prise de connaissance de la décision de l'APEA du 20 septembre 2019. A______ a, en outre, soutenu avoir découvert, le 17 février 2020, lors de la réception du rapport de l'OPE, que des suspicions d'attouchements de sa part sur l'enfant avaient été évoquées. B______ a, quant à elle, expliqué avoir appris faire l'objet de telles accusations en prenant connaissance de l'ordonnance d'acceptation de for du Ministère public produite par C______ lors de l'audience du 24 février 2020 devant l'APEA. Ainsi, les plaintes déposées par les recourants le 13 mai 2020 sont tardives s'agissant des accusations de violences. Le litige porte donc uniquement sur les allégations d'actes d'ordre sexuel avec des enfants.</w:t>
      </w:r>
    </w:p>
    <w:p>
      <w:r>
        <w:rPr>
          <w:b/>
        </w:rPr>
        <w:t>E. 5.6</w:t>
      </w:r>
    </w:p>
    <w:p>
      <w:r>
        <w:t>À cet égard, il ressort du dossier qu'après avoir donné son accord à l'OPE afin qu'il dénonce les faits au Ministère public du canton du Valais, C______ a immédiatement souhaité éviter tous "dégâts" dans le relation père-fille. L'OPE a souligné que C______ reconnaissait le droit de sa fille à voir le recourant et le plaisir qu'elle y prenait. Lors de son audition par la police valaisanne, C______ a, en outre, souligné ne pas se venger de A______, mais ne faire que rapporter les dires de sa fille. Ainsi, malgré quelques tensions entre les parties, il ne ressort pas du dossier que C______ ait eu l'intention de nuire aux recourants en proférant des accusations qu'elle savait fausses. Vu le jeune âge de l'enfant, la gravité des faits et le changement de comportement de D______, attesté par le pédopsychiatre, il ne peut être reproché à C______ d'avoir rapporté les dires de sa fille à l'OPE dans le but d'en établir la véracité, voire, comme cela ressort des messages échangés entre elle et le recourant, de comprendre pourquoi leur fille proférerait de telles accusations, si elles étaient inexactes. On ne discerne là rien qui aurait pour but de dire du mal des recourants, étant rappelé que D______ a répété certaines de ses accusations à son pédopsychiatre. Ainsi, le Ministère public était fondé à refuser d'entrer en matière sur les faits dénoncés par le recourant, faute de prévention pénale suffisante de diffamation (art. 173 CP) et de calomnie (art. 174 CP). Le grief sera ainsi rejeté.</w:t>
      </w:r>
    </w:p>
    <w:p>
      <w:r>
        <w:rPr>
          <w:b/>
        </w:rPr>
        <w:t>E. 6</w:t>
      </w:r>
    </w:p>
    <w:p>
      <w:r>
        <w:t>Les recourants concluent également à la disjonction des procédures P/8308/2020 et P/25517/2019. La non-entrée en matière sur leur plainte étant confirmée, le grief n'a pas d'objet.</w:t>
      </w:r>
    </w:p>
    <w:p>
      <w:r>
        <w:rPr>
          <w:b/>
        </w:rPr>
        <w:t>E. 7</w:t>
      </w:r>
    </w:p>
    <w:p>
      <w:r>
        <w:t>Les recourants réclament une indemnisation de leurs frais de défense, au sens de l'art. 429 CPP, regrettant que le Ministère public ne les ait pas interpellés à ce sujet.</w:t>
      </w:r>
    </w:p>
    <w:p>
      <w:r>
        <w:rPr>
          <w:b/>
        </w:rPr>
        <w:t>E. 7.1</w:t>
      </w:r>
    </w:p>
    <w:p>
      <w:r>
        <w:t>Selon l'art. 429 al. 1 let. a CPP, le prévenu au bénéfice d'une ordonnance de classement a droit à une indemnité pour les dépenses occasionnées par l'exercice raisonnable de ses droits de procédure. L'indemnité visée à l'art. 429 al. 1 let. a CPP concerne les dépenses du prévenu pour un avocat de choix (ATF 138 IV 205 consid. 1). Elle entre aussi en considération en cas de refus d'entrer en matière (ATF 139 IV 241 ).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 ème phrase CPP).</w:t>
      </w:r>
    </w:p>
    <w:p>
      <w:r>
        <w:rPr>
          <w:b/>
        </w:rPr>
        <w:t>E. 7.2</w:t>
      </w:r>
    </w:p>
    <w:p>
      <w:r>
        <w:t>En l'espèce, la recourante a agi en personne. Elle n'a dès lors pas engagé de dépenses pour exercer ses droits de procédure, de sorte que sa requête doit être écartée. Seul le recourant, représenté par un conseil, peut prétendre à une indemnité. À cet égard, les frais de la procédure préliminaire ont été laissés à la charge de l'État, mais le Ministère public ne s'est pas prononcé sur le droit à l'indemnisation pour les dépenses occasionnées par l'exercice raisonnable des droits de procédure du recourant. Cette question devait cependant être examinée d'office. Une telle omission du Ministère public procède d'un déni de justice formel ( ACPR/96/2021 du 12 février 2021), et le recours doit être admis, sur ce point. La cause sera dès lors renvoyée au Ministère public pour qu'il statue sur l'indemnisation demandée.</w:t>
      </w:r>
    </w:p>
    <w:p>
      <w:r>
        <w:rPr>
          <w:b/>
        </w:rPr>
        <w:t>E. 8</w:t>
      </w:r>
    </w:p>
    <w:p>
      <w:r>
        <w:t>Les frais envers l'État sont fixés en totalité à CHF 1000.- (art. 428 al. 1 CPP et 13 al. 1 du Règlement fixant le tarif des frais en matière pénale, RTFMP; E 4 10.03). Le recourant, qui succombe sur la plupart de ses conclusions, sera condamné à la prise en charge de ceux-ci à hauteur de 40 %, et la recourante, qui succombe sur la totalité de ses conclusions, sera, elle, condamnée à les prendre en charge à hauteur de la moitié. Le solde sera laissé à la charge de l'État.</w:t>
      </w:r>
    </w:p>
    <w:p>
      <w:r>
        <w:rPr>
          <w:b/>
        </w:rPr>
        <w:t>E. 9</w:t>
      </w:r>
    </w:p>
    <w:p>
      <w:r>
        <w:t>Le recourant, qui a obtenu gain de cause sur un de ses griefs, a réclamé une indemnité pour ses frais de défense devant l'autorité de recours. Il a joint, à cet égard, un extrait du time-sheet de son conseil.</w:t>
      </w:r>
    </w:p>
    <w:p>
      <w:r>
        <w:rPr>
          <w:b/>
        </w:rPr>
        <w:t>E. 9.1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w:t>
      </w:r>
    </w:p>
    <w:p>
      <w:r>
        <w:rPr>
          <w:b/>
        </w:rPr>
        <w:t>E. 9.2</w:t>
      </w:r>
    </w:p>
    <w:p>
      <w:r>
        <w:t>En l'espèce, il ressort de l'extrait de time-sheet produit par le recourant qu'à la suite de la réception de l'ordonnance querellée, son conseil a consacré 20 minutes (0.33) au calcul du délai de recours, dix minutes à la rédaction d'un courriel au client (0.17), une heure de conférence avec lui, six heures à la rédaction de l'acte de recours, une heure à l'étude du dossier et quarante minutes à des recherches judiriques (0.66). La taux horaire pratiqué par l'avocat n'y est pas mentionné. Vu l'admission très partielle du recours, portant uniquement sur l'ommission du Ministère public de se prononcer sur l'indemnisation à l'issue de la procédure préliminaire - point peu développé dans le recours -, la durée revendiquée est excessive et sera ramenée à une heure. Un montant de CHF 430,80 TTC sera octroyé à A______ pour la procédure de recours, correspondant à une heure au tarif horaire de CHF 400.-, tel qu'appliqué par la Cour de justice au chef d'étude ( ACPR/282/2014 du 30 mai 2014), conformément à la jurisprudence du Tribunal fédéral (ATF 135 III 259 consid. 2 et 6B_1078/2014 du 9 février 2016 consid. 4.3). S'y ajoute la TVA (7.7 %). Le montant de cette indemnité sera compensé avec celui des frais de procédure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