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P/25508/2023 vom 2. September 2025</w:t>
      </w:r>
    </w:p>
    <w:p>
      <w:r>
        <w:t>GE Cour de justice, 2025-09-02, FR</w:t>
      </w:r>
    </w:p>
    <w:p>
      <w:r>
        <w:rPr>
          <w:b/>
        </w:rPr>
        <w:t xml:space="preserve">Quelle: </w:t>
      </w:r>
      <w:r>
        <w:t>https://mcp.opencaselaw.ch/entscheid/ge_gerichte_P_25508_2023</w:t>
      </w:r>
    </w:p>
    <w:p>
      <w:r>
        <w:t>FR: GE_GERICHTE P/25508/2023 du 2 septembre 2025</w:t>
      </w:r>
    </w:p>
    <w:p>
      <w:r>
        <w:t>IT: GE_GERICHTE P/25508/2023 del 2 settembre 2025</w:t>
      </w:r>
    </w:p>
    <w:p>
      <w:pPr>
        <w:pStyle w:val="Heading2"/>
      </w:pPr>
      <w:r>
        <w:t>Regeste</w:t>
      </w:r>
    </w:p>
    <w:p>
      <w:r>
        <w:t>MANIFESTATION;LIBERTÉ DE RÉUNION | LMDPu10; LPG11F</w:t>
      </w:r>
    </w:p>
    <w:p>
      <w:pPr>
        <w:pStyle w:val="Heading2"/>
      </w:pPr>
      <w:r>
        <w:t>Erwägungen</w:t>
      </w:r>
    </w:p>
    <w:p>
      <w:r>
        <w:rPr>
          <w:b/>
        </w:rPr>
        <w:t>E. 1</w:t>
      </w:r>
    </w:p>
    <w:p>
      <w:r>
        <w:t>Recevabilité et composition de la juridiction d'appel</w:t>
      </w:r>
    </w:p>
    <w:p>
      <w:r>
        <w:rPr>
          <w:b/>
        </w:rPr>
        <w:t>E. 1.1</w:t>
      </w:r>
    </w:p>
    <w:p>
      <w:r>
        <w:t>Selon l'art. 8 de la loi d'application du Code pénal et d'autres lois fédérales en matière pénale (LaCP), les infractions prévues par la législation genevoise sont poursuivies et jugées conformément au Code de procédure pénale (CPP), appliqué à titre de droit cantonal supplétif, ainsi qu'à ses dispositions cantonales d'application.</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Une décision n'est pas arbitraire du seul fait qu'elle apparaît discutable ou même critiquable ; il faut qu'elle soit manifestement insoutenable et cela non seulement dans sa motivation mais aussi dans son résultat (ATF 145 IV 154 consid. 1 ; 143 IV 241 consid. 2.3.1).</w:t>
      </w:r>
    </w:p>
    <w:p>
      <w:r>
        <w:rPr>
          <w:b/>
        </w:rPr>
        <w:t>E. 1.3</w:t>
      </w:r>
    </w:p>
    <w:p>
      <w:r>
        <w:t>En l'espèce, l'appel est recevable pour avoir été interjeté et motivé selon la forme et dans les délais prescrits (art. 398 et 399 CPP).</w:t>
      </w:r>
    </w:p>
    <w:p>
      <w:r>
        <w:rPr>
          <w:b/>
        </w:rPr>
        <w:t>E. 1.4</w:t>
      </w:r>
    </w:p>
    <w:p>
      <w:r>
        <w:t>Conformément à l'art. 129 al. 4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2</w:t>
      </w:r>
    </w:p>
    <w:p>
      <w:r>
        <w:t>Appréciation de l'accusation</w:t>
      </w:r>
    </w:p>
    <w:p>
      <w:r>
        <w:rPr>
          <w:b/>
        </w:rPr>
        <w:t>E. 2.1</w:t>
      </w:r>
    </w:p>
    <w:p>
      <w:r>
        <w:t>Selon l'art. 350 al. 1 CPP, le tribunal est lié par l'état de fait décrit dans l'acte d'accusation mais non par l'appréciation juridique qu'en fait le Ministère public. Ce principe vaut tant durant la procédure de première que de deuxième instance (Y. JEANNERET / A. KUHN / C. PERRIER DEPEURSINGE [éds], Commentaire romand : Code de procédure pénale suisse, 2 ème éd., Bâle 2019, n. 4 ad art. 350). Conformément au principe iura novit curia, le tribunal est en effet libre dans la manière d'apprécier les faits d'un point de vue juridique. Il peut s'écarter de l'appréciation juridique que porte le Ministère public sur l'état de fait dans l'acte d'accusation, dans la mesure où les faits sont prouvés et à la condition d'avoir respecté la procédure de l'art. 344 CPP, soit d'en avoir informé les parties présentes et les avoir invitées à se prononcer (Y. JEANNERET et al. [éds], op. cit., n. 5 ad art. 350).</w:t>
      </w:r>
    </w:p>
    <w:p>
      <w:r>
        <w:rPr>
          <w:b/>
        </w:rPr>
        <w:t>E. 2.2</w:t>
      </w:r>
    </w:p>
    <w:p>
      <w:r>
        <w:t>Dans sa déclaration d'appel, puis lors des débats, le MP a sollicité que C______ soit reconnue coupable d'infraction à l'art. 11F LPG en lien avec les faits qui avaient été qualifiés d'empêchement d'accomplir un acte officiel et pour lesquels elle a été acquittée par le TP (art. 286 al. 1 CP). La Cour constate in casu que tous les éléments factuels nécessaires au jugement de l'infraction à l'art. 11F LPG sont compris dans l'ordonnance pénale et que les parties ont pu se prononcer sur leur qualification tant en première qu'en seconde instance. Elle relève au surplus que cette nouvelle qualification juridique n'a pas été contestée par les intimés au stade de l'appel, en dehors de l'acquittement plaidé. Partant, rien ne s'oppose à ce que les faits soient également analysés sous l'angle de l'art. 11F LPG.</w:t>
      </w:r>
    </w:p>
    <w:p>
      <w:r>
        <w:rPr>
          <w:b/>
        </w:rPr>
        <w:t>E. 3</w:t>
      </w:r>
    </w:p>
    <w:p>
      <w:r>
        <w:t>Appréciation des moyens de preuves</w:t>
      </w:r>
    </w:p>
    <w:p>
      <w:r>
        <w:rPr>
          <w:b/>
        </w:rPr>
        <w:t>E. 3.1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En l'espèce, il ressort de manière concordante des rapports de police que les forces de l'ordre sont intervenues le jour des faits, aux alentours de 11h55, après avoir été sollicitées en raison de la présence de quatre personnes qui taguaient la façade du bâtiment occupé par G______ devant le n° ______ de la rue 1______. Ces constats sont étayés par les photographies versées au dossier, montrant la façade et ses abords recouverts de peinture 2______, avec une inscription " 3______ " et des affiches de la même couleur. On y distingue également de nombreuses salissures, sous la forme de traces de peinture s'étalant sur le large trottoir ainsi que sur la façade et le portail vitré situés devant l'immeuble. On comprend qu'elles proviennent de l'extincteur et du pot de peinture 2______ retrouvés sur place par la police. Plus généralement, les agissements des intimés ont causé un dommage au propriétaire de l'immeuble visé, lequel a déposé plainte avant de la retirer, après avoir été remboursés des frais liés à la restauration de la façade. La Cour ne peut donc que constater, en marge du classement de l'infraction de dommages à la propriété pour des motifs procéduraux, que la manifestation a causé des désagréments excédant ceux qu'implique l'exercice normal de la liberté de réunion pacifique (cf. infra consid. 6.1.2.). Les intimés ont été interpellés sur les lieux. Il n'est d'ailleurs pas fait mention, ni soutenu par les parties, que d'autres militants ou manifestants, hormis le quatrième individu appréhendé (I______), y auraient participé. La police fait état que deux d'entre eux, en l'occurrence C______ et I______, se trouvaient assis par terre devant la façade, main dans la main, ce qui découle des photographies au dossier, lesquelles montrent que les vêtements de la première sont tâchés de peinture, tandis que le second a ses mains maculées. Quant à E______ et A______, ils se trouvaient également dans ce périmètre, l'un avec un gilet 2______ et l'autre distribuant des tracts. E______ a confirmé que son rôle était de s'assurer qu'il n'y avait pas de violences, tandis que A______ distribuait des flyers, selon ses propres dires, pour expliquer l'inscription " 3______ " ainsi que le message de leur action à la population. Selon les déclarations convergentes des intimés, leur action s'inscrivait dans le cadre de celles du mouvement K______. Elle visait à alerter la population sur l'urgence climatique et la nécessité d'accélérer le processus de rénovation thermique des bâtiments, et ce au travers d'une action marquante, en escomptant un fort écho dans les médias, raison pour laquelle ils avaient peint la façade de l'immeuble où se trouve la banque G______. Tous trois ne remettent pas en cause qu'ils se sont réunis sans requérir d'autorisation préalable. Ils estiment cependant qu'ils étaient dans leur bon droit et considèrent avoir agi de manière pacifique et au nom d'une cause supérieure. L'éthylotest de C______, effectué à 12h40 au poste de J______, permet d'apprécier la durée qui s'est écoulée entre la demande d'intervention de la police aux alentours de 11h55 et l'arrivée de la précitée dans ses locaux, première parmi les protagonistes, environ 45 minutes plus tard.</w:t>
      </w:r>
    </w:p>
    <w:p>
      <w:r>
        <w:rPr>
          <w:b/>
        </w:rPr>
        <w:t>E. 3.3</w:t>
      </w:r>
    </w:p>
    <w:p>
      <w:r>
        <w:t>S'agissant du refus d'obtempérer, qui s'inscrit dans le même complexe de faits décrit supra (cf. consid. 3.2), celui d'une manifestation émaillée de déprédations, il ressort du rapport d'interpellation que les policiers ont demandé à C______ ainsi qu'à I______ de se lever et de les suivre. Face à leur refus, la police les a portés jusqu'à leur véhicule de fonction afin de les emmener au commissariat, celle-ci relevant au passage que A______ et E______ n'avaient, quant à eux, opposé aucune résistance. Cette version a été confirmée par C______. Elle se souvenait avoir été sommée de se lever et de suivre la police à une seule reprise, injonction à laquelle elle n'avait pas obtempéré, de manière consciente et volontaire. Elle a justifié cette désobéissance par le fait qu'elle voulait avoir plus de temps pour " s'exprimer ". Il ressort clairement, compte tenu de ce qui précède, que c'est face au refus d'obtempérer de l'intimée, qui avait parfaitement compris l'injonction mais qui était résolue à demeurer sur place pour manifester plus longtemps, que les policiers ont pris la décision de la soulever pour l'emmener.</w:t>
      </w:r>
    </w:p>
    <w:p>
      <w:r>
        <w:rPr>
          <w:b/>
        </w:rPr>
        <w:t>E. 4</w:t>
      </w:r>
    </w:p>
    <w:p>
      <w:r>
        <w:t>Infraction reprochée à A ______ , C ______ et E ______ 4.1.1. Dans le canton de Genève, la LMDPu a pour but de régir, dans le respect des droits fondamentaux garantis par la Cst. et la CEDH, l'organisation et la tenue de manifestations, soit tout rassemblement, cortège, défilé ou autre réunion sur le domaine public (art. 1 et 2 LMDPu). À teneur des travaux préparatoires, la définition de la notion de manifestation permet en particulier d'exclure un certain nombre d'événements qui ne sont pas visés par ladite loi, tels que tous les événements de type commercial (marchés, foires, etc.), culturel (fanfares, fête de la musique, etc.), festif (cortège de l'Escalade, etc.), sportif (courses à pied, de vélo ou autre) ou les déplacements en groupes, notamment de classes scolaires. Par ailleurs, cette loi ne s'applique pas sur le domaine privé et s'inscrit dans le cadre de la liberté de manifester, qu'elle ne remet pas cause (MGC 2003-2004/IV A 1343-1344). La LMDPu ne définit pas un nombre minimal de personnes pour considérer qu'il s'agit d'une manifestation. La présence de participants en un lieu déterminé, qui n'est pas le fruit du hasard, mais s'inscrit dans un but de " pression citoyenne ", tombe sous la définition de manifestation au sens de cette loi ( ACPR/771/2020 du 30 octobre 2020 consid. 4). 4.1.2. L'organisation d'une manifestation sur le domaine public est soumise à une autorisation délivrée par le département compétent (art. 3 LMDPu), qui en fixe les modalités, charges et conditions en tenant compte de la demande d'autorisation et des intérêts privés et publics en présence ; il détermine en particulier le lieu ou l'itinéraire de la manifestation ainsi que la date et l'heure du début et de fin de celle-ci (art. 5 al. 2 LMDPu). Selon la jurisprudence de la Cour européenne des droits de l'homme (CourEDH), l'exigence d'une autorisation n'est pas contraire à l'art. 11 CEDH, protégeant la liberté de réunion et la liberté d'association, pour autant que le but de la procédure est de permettre aux autorités de prendre des mesures raisonnables et adaptées permettant de garantir le bon déroulement de ce type d'événements. La CourEDH a néanmoins précisé que, si les règles régissant les réunions publiques, telles qu'un système d'autorisation, sont essentielles pour le bon déroulement des manifestations publiques, leur mise en œuvre ne doit pas devenir une fin en soi (arrêt de la CourEDH Bumbes c. Roumanie du 3 mai 2022, req. n° 18079/15, § 100 ; arrêt du Tribunal fédéral 6B_246/2022 du 12 décembre 2022 consid. 3.2.2). La CourEDH a souligné à plusieurs reprises l'importance cruciale de la liberté de réunion pacifique, qui, à l'instar de la liberté d'expression, constitue un des fondements d'une société démocratique (arrêt de la CourEDH Communauté genevoise d'action syndicale c. Suisse du 15 mars 2022, req. n° 21881/20, § 10 ; Dinçer c. Turquie du 16 janvier 2018, req. n° 17843/11, § 20). 4.1.3. Conformément aux principes de proportionnalité et d'opportunité, la police procède à la dispersion des manifestations non autorisées ou qui ne respectent pas les conditions de l'autorisation (art. 6 al. 3 LMDPu). En cas de violences et de débordements, la police emploie sans délai les moyens adéquats et proportionnés pour rétablir l'ordre et identifier les fauteurs de troubles ; les participants à la manifestation sont tenus d'obtempérer immédiatement à ses sommations (art. 6 al. 4 LMDPu). À teneur de l'art. 7 LMDPu, la police appréhende les individus surpris en flagrant délit y compris en cas d'actes préparatoires et de tentative sanctionnés par le droit pénal fédéral (al. 1). La police saisit les objets destinés à commettre ces infractions (al. 2). 4.1.4. À titre de " Dispositions pénales ", l'art. 10 LMDPu permet de sanctionner de l'amende jusqu'à CHF 100'000.- celui qui a omis de requérir une autorisation de manifester.</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120 IV 136 consid. 2b et 2c/aa et les arrêts cités).</w:t>
      </w:r>
    </w:p>
    <w:p>
      <w:r>
        <w:rPr>
          <w:b/>
        </w:rPr>
        <w:t>E. 4.3</w:t>
      </w:r>
    </w:p>
    <w:p>
      <w:r>
        <w:t>En l'espèce, sur la base des éléments établis supra (cf. consid. 3.2.), l'action à laquelle les intimés ont pris part doit être considérée comme un rassemblement au sens de la LMDPu. Leur présence sur les lieux s'inscrivait en effet dans un but de " pression citoyenne ", au sens de la jurisprudence précitée, et a impliqué un usage accru du domaine public. Tombant sous le coup de l'art. 2 LMDPu, elle était ainsi soumise à une autorisation délivrée par le département compétent (art. 3 LMDPu). Aucun des intimés ne soutient qu'il aurait sollicité préalablement une autorisation, telle que la LMDPu l'exige. Tous trois reconnaissent cependant qu'ils savaient que la manifestation n'était pas autorisée, soit, en d'autres termes, qu'ils avaient volontairement omis de requérir l'autorisation idoine. L'on comprend en outre de leurs dépositions qu'ils ont agi conjointement et de concert, s'associant à l'organisation et à la participation de la manifestation, ce qui les fait tous apparaître comme des auteurs principaux. Partant, en ne requérant pas l'autorisation de manifester, le comportement de A______, C______ et E______ est constitutif d'une contravention au sens de l'art. 10 LMDPu. La Cour relèvera, en réponse au grief soulevé par les intimés, que l'art. 10 LMDPu a été considéré comme conforme à la Constitution et à la CEDH par le Tribunal fédéral (cf. arrêt du Tribunal fédéral 1C_225/2012 du 10 juillet 2013 consid. 2.1 et 5 ss).</w:t>
      </w:r>
    </w:p>
    <w:p>
      <w:r>
        <w:rPr>
          <w:b/>
        </w:rPr>
        <w:t>E. 5</w:t>
      </w:r>
    </w:p>
    <w:p>
      <w:r>
        <w:t>Infraction reprochée en sus à C ______ 5.1.1. L'art. 286 al. 1 CP punit quiconque empêche une autorité, un membre d'une autorité ou un fonctionnaire de faire un acte entrant dans ses fonctions. Sur le plan objectif, il faut que l'auteur, par son comportement, entrave l'autorité ou le fonctionnaire dans l'accomplissement d'un acte officiel. Il ne suffit pas qu'il se borne à ne pas obtempérer à un ordre qui lui est donné ou à exprimer son désaccord à l'endroit d'un acte entrepris par un fonctionnaire. Il n'est en revanche pas nécessaire que l'auteur parvienne à éviter effectivement l'accomplissement de l'acte officiel ; il suffit qu'il le rende plus difficile, l'entrave ou le diffère. Le fait pour un auteur de refuser de quitter les lieux de son propre gré ensuite des injonctions de la police et d'attendre que celle-ci l'interpelle pour le faire, sans entrave ou gêne d'actes officiels de la police ni résistance active aux forces de l'ordre, relève d'un simple refus d'obtempérer, comportement que l'art. 286 CP n'incrimine pas (arrêt du Tribunal fédéral 6B_349/2024 du 26 novembre 2024 consid. 2 et 4). 5.1.2. L'art. 11F LPG punit celui qui n'aura pas obtempéré à une injonction d'un membre de la police ou d'un agent de la police municipale agissant dans le cadre de ses attributions. 5.2.1. C'est à bon droit que le TP a considéré que le comportement de C______ ne tombait pas sous le coup de l'art. 286 CP, ce que le MP n'a pas remis en question dans sa déclaration d'appel, ayant conclu à une nouvelle qualification des faits en cause. Il ne ressort en effet pas que l'intimée ait opposé une quelconque résistance physique active au moment d'être emmenée, ni qu'elle se soit laissée contraindre avec difficulté, son attitude s'étant limitée au refus d'obtempérer à l'ordre donné. 5.2.2. Autre est la question de la contravention, non qualifiée, à l'art. 11F LPG, englobant toute désobéissance à des injonctions données par les forces de l'ordre dans l'exercice de leurs fonctions, indépendamment des circonstances de leur intervention (cf. AARP/411/2021 consid. 2.5.). Le Tribunal fédéral retient d'ailleurs, contrairement au grief soulevé par la défense, que le refus d'obtempérer à la police dans le cadre d'une manifestation reste en soi susceptible, dans le canton de Genève, d'être réprimé en vertu de l'art. 11F LPG (arrêt du Tribunal fédéral 6B_246/2022 du 12 décembre 2022 consid. 2.5). En l'occurrence, il est établi que l'intimée a, volontairement et en toute conscience, refusé d'obtempérer à l'injonction de la police (cf. supra consid. 3.3.). Le fait que les policiers n'aient pas réitéré leur demande n'est pas déterminant, C______ ayant déclaré qu'elle ne souhaitait pas se conformer à l'ordre et voulait rester plus longtemps sur place pour manifester, rendant ainsi toute relance inutile. L'injonction des policiers s'inscrivait dans le cadre de leur mission consistant à réprimer des comportements non autorisés et troublant l'ordre public, la manifestation ayant été émaillée par des déprédations sur un bien privé et la voie publique. Ils étaient donc fondés à ordonner à C______ de se lever et de les suivre jusqu'à leur véhicule de service pour être emmenée au commissariat, sous réserve des garanties prévues par l'art. 11 CEDH (cf. infra consid. 6.2.). L'intimée, pleinement consciente de l'absence d'autorisation de manifester et des déprédations causées, a donc sciemment choisi de défier l'autorité, fût-ce de manière passive, en persistant à vouloir demeurer sur place. Partant, elle s'est rendue coupable de contravention à l'art. 11F LPG.</w:t>
      </w:r>
    </w:p>
    <w:p>
      <w:r>
        <w:rPr>
          <w:b/>
        </w:rPr>
        <w:t>E. 6</w:t>
      </w:r>
    </w:p>
    <w:p>
      <w:r>
        <w:t>Liberté de réunion (art. 22 Cst et 11 CEDH) et restriction du droit fondamental Le MP soutient que les intimés ne peuvent se prévaloir, contrairement à ce qui a été retenu par le TP, de leur liberté de réunion, garantie par les art. 22 Cst. et 11 CEDH, ce qui rendrait licites leurs comportements. 6.1.1.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132 I 49 consid. 5.3; arrêt du Tribunal fédéral 6B_655/2022 du 31 août 2022 consid. 4.2). L'art. 11 par. 1 CEDH (en relation avec l'art. 10 CEDH), qui consacre notamment le droit de toute personne à la liberté de réunion et à la liberté d'association, offre des garanties comparables (ATF 132 I 256 consid. 3 ; arrêts du Tribunal fédéral 6B_837/2022 du 17 avril 2023 consid. 3.1.1 ; 6B_246/2022 du 12 décembre 2022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 ère phrase, CEDH). 6.1.2. Le Tribunal fédéral a récemment rappelé, en référence à la jurisprudence de la CourEDH, qu'en l'absence d'actes de violence de la part des participants à une manifestation non autorisée, les pouvoirs publics devaient faire preuve, dans le cadre de l'application du droit pénal, d'une certaine tolérance pour les rassemblements pacifiques afin que la liberté de réunion garantie par l'art. 11 CEDH ne soit pas vidée de sa substance. Ainsi,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elle ne commet par elle-même, à cette occasion, aucun acte répréhensible (arrêt du Tribunal fédéral 6B_1098/2022 du 31 juillet 2023 consid. 6.1.3 ; 6B_246/2022 précité consid 3.2.4 ; arrêts de la CourEDH Kudrevicius et autres c. Lituanie du 15 octobre 2015 [GC], req. n° 37553/05, § 149, 151 ; Solari c. Moldavie du 28 mars 2017, req. 42878/05, § 37 ; Navalnyy c. Russie du 15 novembre 2018 [GC], req. n° 29580/12, § 128). La tolérance qui est demandée aux pouvoirs publics à l'égard des rassemblements pacifiques " illégaux "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du Tribunal fédéral 6B_246/2022 du 12 décembre 2022 consid. 3.2.4 et les références citées, soit notamment les arrêts de la CourEDH Navalnyy c. Russie du 15 novembre 2018 [GC], req. n° 29580/12, § 128 ; Egitim ve Bilim Emekcileri Sendikasi et autres c. Turquie du 5 juillet 2016, req. n° 20641/05, § 95). Les limites de la tolérance que les autorités sont censées démontrer à l'égard d'un rassemblement illicite dépendent des circonstances particulières du cas d'espèce, notamment de la durée et de l'ampleur du trouble à l'ordre public causé par le rassemblement ainsi que de la question de savoir si ses participants se sont vu offrir une possibilité suffisante d'exprimer leurs opinions (arrêt du Tribunal fédéral 6B_246/2022 du 12 décembre 2022 consid. 3.2.4 ; arrêts de la CourEDH Frumkin c. Russie du 5 janvier 2016, req. n° 74568/12, § 97 ; Kudrevicius et autres c. Lituanie du 15 octobre 2015 [GC], req. n° 37553/05, §§ 155-157 et 176-177). Il ne faut ainsi pas perdre de vue que les autorités sont fondées à prendre des mesures répressives et imposer des sanctions pour des infractions spécifiques commises au cours d'un rassemblement. Des ingérences dans l'exercice du droit à la liberté de réunion sont en principe justifiées pour la défense de l'ordre et la prévention du crime, ainsi que pour la protection des droits et des libertés d'autrui lorsque les manifestants se livrent à des actes de violence (arrêt de la CourEDH Giuliani et Gaggio c. Italie du 24 mars 2011 [GC], req. 23458/02, § 251). De même,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Pareil comportement peut justifier l'imposition de sanctions, y compris de nature pénale (arrêt de la CourEDH Kudrevicius et autres c. Lituanie [GC], § 173-174). 6.1.3. En application des principes exposés supra, le Tribunal fédéral a retenu que le fait de barbouiller le bien d'autrui avec un spray constitue un acte de violence et que, ce faisant, la personne incriminée avait commis un acte de vandalisme incompatible avec la liberté d'expression et d'opinion, estimant qu'il lui aurait été possible de participer à la marche contre le climat, à l'instar des autres participants, sans maculer de peinture rouge les murs du bâtiment d'une banque (arrêt du Tribunal fédéral 6B_1298/2020 du 28 septembre 2021 consid. 4.3).</w:t>
      </w:r>
    </w:p>
    <w:p>
      <w:r>
        <w:rPr>
          <w:b/>
        </w:rPr>
        <w:t>E. 6.2</w:t>
      </w:r>
    </w:p>
    <w:p>
      <w:r>
        <w:t>En l'espèce, les intimés ont pris part à une manifestation qui a entraîné des déprédations pour les propriétaires de l'immeuble, dont la façade a été maculée de peinture 2______, ainsi que des salissures sur le domaine public. Le caractère " lavable " de cette peinture est sans pertinence, dès lors que leur action a tout de même nécessité un nettoyage facturé à plusieurs centaines de francs. Plus largement, ces seuls faits, assimilables à des actes répréhensibles, suffisent à établir que la manifestation a excédé les désagréments inhérents à l'exercice normal de la liberté de réunion pacifique, rendant inutile, au passage, l'examen d'éventuelles autres perturbations causées par cette manifestation non autorisée. Ainsi, par leur comportement, les intimés ont commis un acte de vandalisme incompatible avec la liberté de réunion au sens de la jurisprudence précitée, étant relevé que leur participation à la manifestation n'impliquait nullement de sprayer de la peinture – lavable ou non – sur les murs du bâtiment de la banque. Par voie de conséquence, il n'y a pas lieu d'examiner plus avant les conditions permettant de restreindre la liberté de réunion, les intimés ne pouvant se prévaloir de la protection conférée par ce droit. Il s'ensuit que la condamnation de A______, C______ et E______ pour une infraction à la LMDPu, de même que de C______, en sus dans ce contexte, à la LPG, ne consacre pas une violation de la liberté de réunion garantie par les art. 11 CEDH et 22 Cst.</w:t>
      </w:r>
    </w:p>
    <w:p>
      <w:r>
        <w:rPr>
          <w:b/>
        </w:rPr>
        <w:t>E. 7</w:t>
      </w:r>
    </w:p>
    <w:p>
      <w:r>
        <w:t>Peine</w:t>
      </w:r>
    </w:p>
    <w:p>
      <w:r>
        <w:rPr>
          <w:b/>
        </w:rPr>
        <w:t>E. 7.1</w:t>
      </w:r>
    </w:p>
    <w:p>
      <w:r>
        <w:t>La peine menace prévue à l'art. 10 LMDPu est une amende pouvant aller jusqu'à CHF 100'000.-, tandis que l'art. 11F LPG prévoit que la sanction encourue est l'amende.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7.1.2</w:t>
      </w:r>
    </w:p>
    <w:p>
      <w:r>
        <w:t>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w:t>
      </w:r>
    </w:p>
    <w:p>
      <w:r>
        <w:rPr>
          <w:b/>
        </w:rPr>
        <w:t>E. 7.1.4</w:t>
      </w:r>
    </w:p>
    <w:p>
      <w:r>
        <w:t>Sauf disposition contraire de la loi, le montant maximum de l'amende est de CHF 10'000.- (art. 106 al. 1 CP). L'art. 106 al. 2 CP prévoit que le juge prononce, pour le cas où, de manière fautive, le condamné ne paie pas l'amende, une peine privative de liberté de substitution d'un jour au moins et de trois mois au plus. Au moment de fixer la peine privative de liberté de substitution à une amende, le juge ne doit tenir compte que de la culpabilité de l'auteur, à l'exclusion des circonstances financières propres au condamné (ATF 134 IV 97 consid. 6.3.7.1). Le Code pénal n'établissant aucune base de calcul pour le taux de conversion d'une amende en peine privative de liberté de substitution, la doctrine a préconisé un taux de CHF 100.- par jour, correspondant au ratio entre la valeur maximale de l'amende et le nombre maximum de jours de peine privative de liberté de substitution (L. MOREILLON / A. MACALUSO / N. QUELOZ / N. DONGOIS [éds], Commentaire romand : Code pénal I, art. 1-110 CP, 2 ème éd., Bâle 2021, n. 19 ad art. 106 CP).</w:t>
      </w:r>
    </w:p>
    <w:p>
      <w:r>
        <w:rPr>
          <w:b/>
        </w:rPr>
        <w:t>E. 7.1.5</w:t>
      </w:r>
    </w:p>
    <w:p>
      <w:r>
        <w:t>Conformément à l'art. 48 let. a ch. 1 CP, le juge atténue la peine notamment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doit encore se situer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w:t>
      </w:r>
    </w:p>
    <w:p>
      <w:r>
        <w:rPr>
          <w:b/>
        </w:rPr>
        <w:t>E. 7.1.6</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Toutes les conséquences de l'acte doivent être minimes, et non seulement celles constitutives de l'infraction (ATF 146 IV 297 consid. 2.3 ; 135 IV 130 consid. 5.3.2, 5.3.3 et 5.4 ; arrêts du Tribunal fédéral 6B_718/2020 du 25 novembre 2020 consid. 2.2 ; 6B_1295/2020 du 26 mai 2021 consid. 7 [considérant non-publié à l'ATF 147 IV 297 ] ; 6B_519/2020 du 27 septembre 2021 consid. 2.4 s.). Le fait que les contraventions de droit cantonal constituent généralement des cas bagatelles n'exclut pas une exemption de peine fondée sur l'art. 52 CP, appliqué à titre de droit cantonal supplétif (art. 1 al. 1 let. a LPG). Cette exemption suppose toutefois que le fait en question apparaisse, quant à la faute et aux conséquences de l'acte, comme d'une gravité significativement moindre que le cas typique du comportement réprimé (ATF 138 IV 13 consid. 9 ; arrêt du Tribunal fédéral 6B_94/2014 du 11 juin 2014 consid. 2.2). 7.2.1. En l'espèce, la faute des intimés relative à l'omission de requérir une autorisation (art. 10 LMDPu) doit être qualifiée de moyenne. Ils ont agi au mépris de la législation en vigueur, n'ayant sollicité aucune autorisation et reconnaissant expressément savoir qu'une telle manifestation n'était pas autorisée. Leur faute ne saurait donc être assimilée à celle d'une personne qui aurait simplement omis de requérir l'autorisation de manifester, par exemple parce qu'elle n'était pas au fait de la législation en la matière. Elle porte directement atteinte à la crédibilité du système de l'autorisation et, par conséquent, à l'autorité de la puissance publique. Même s'il sera retenu, à décharge, que la manifestation n'a duré qu'une trentaine de minutes, qu'elle est restée cantonnée à la portion de trottoir devant la façade de l'immeuble, que l'intervention policière s'est limitée à une courte période et que la gestion de l'incident s'est déroulée sans invective ni violence, les déprédations causées au bâtiment ne peuvent être éludées. Les intimés ont agi de façon planifiée et coordonnée, assumant des rôles d'importance comparable et unissant leurs efforts vers un même objectif. 7.2.2. La faute de C______ en lien avec son refus d'obtempérer (art. 11F LPG) n'est pas anodine. En s'opposant à l'injonction des policiers de se lever de l'emplacement où elle manifestait sans droit et de les suivre, elle a défié l'autorité et montré un mépris tant pour les règles en vigueur que pour l'ordre public. 7.2.3. La collaboration à la procédure des intimés a été mitigée : ils ont d'abord refusé de répondre aux questions de la police, avant de reconnaître les faits – mais uniquement ceux concernant chacun d'eux – en cours de procédure. La prise de conscience de A______ est inexistante, celui-ci ayant encore adopté en appel une position visant à minimiser les faits, tout en faisant fi de la réalité des circonstances et ne montrant aucun amendement. Cette action ne l'a d'ailleurs pas dissuadé de concourir à d'autres actions liées à la défense du climat (cf. supra point D./a.), lesquelles ont donné lieu à l'ouverture de procédures pénales, alors même qu'il faisait déjà l'objet d'une mise en prévention dans la présente cause. Concernant C______, sa prise de conscience n'est en rien aboutie. Elle maintient s'être trouvée en droit d'agir de la sorte, en dépit du caractère pénal de ses actes. Elle n'a aucun antécédent judiciaire, ce qui constitue un élément neutre dans la fixation de la peine. La prise de conscience de E______ est, en raison de son absence d'amendement et d'introspection personnelle, tout aussi inexistante que celle de ses co-auteurs. Il a persévéré dans la commission d'actes en lien avec la protection du climat, postérieurs aux faits de la présente cause et pour lesquels il a été pénalement condamné (cf. supra point D./c.). La situation personnelle des intimés est favorable, sinon sans particularité.</w:t>
      </w:r>
    </w:p>
    <w:p>
      <w:r>
        <w:rPr>
          <w:b/>
        </w:rPr>
        <w:t>E. 7.3</w:t>
      </w:r>
    </w:p>
    <w:p>
      <w:r>
        <w:t>Bien que non plaidée, au-delà de leur acquittement, les intimés ne sauraient bénéficier d'une exemption de peine. S'ils ont certes agi pour défendre une cause idéale, la manière dont ils ont voulu s'assurer d'une certaine visibilité, en taguant un bien privé et en salissant le domaine public, fait obstacle à la circonstance atténuante du mobile honorable, incompatible avec un tel geste, si bien que les art. 48 let. a CP et 52 CP ne sauraient s'appliquer dans le cas d'espèce. Les comportements illicites adoptés par les intimés ne sauraient en outre justifier la cause qu'ils portent, ce que le Tribunal fédéral a rappelé dans des affaires portant sur des actions climatiques, notamment au vu de la possibilité de défendre légalement leur cause, du fait que leur comportement n'a pas été sans conséquence pour la propriété privée, ou encore, s'agissant de C______, de la volonté affichée de ne pas obtempérer aux injonction de la police (cf. par ex. arrêts du Tribunal fédéral 6B_1295/2020 du 26 mai 2021 consid. 7 [considérant non-publié à l'ATF 147 IV 297 ] ; 6B_81/2023 du 8 février 2024 consid. 8.2). 7.4.1. Vu ce qui précède, une amende de CHF 300.- s'avèrerait appropriée pour sanctionner la violation de l'art. 10 LMDPu s'agissant de A______, montant qui se situe dans une fourchette basse (montant maximal de CHF 10'000.-) et qui prend en considération sa situation personnelle. Celle-ci sera cependant fixée à CHF 100.- pour tenir compte de l'équivalent de deux jours de détention avant jugement subi par ce dernier (la durée de sa détention ayant été d'environ 28 heures ; cf. supra point B./a.d.). Par parallélisme, il conviendra de prononcer une peine privative de liberté de substitution d'un jour pour le cas où, de manière fautive, l'intimé ne payait pas l'amende. 7.4.2. S'agissant de E______, une amende de CHF 300.- apparaîtrait également appropriée. Toutefois, dans la mesure où l'intéressé a été condamné le 7 août 2024 par le MP à une amende de CHF 500.- pour violation simple des règles de la circulation routière et infraction à l'art. 10 LMDPu, on se trouve dans un cas de concours réel rétrospectif. L'infraction à l'art. 10 LMDPu sanctionnée dans la procédure P/6569/2024 doit être considérée comme la plus grave. Si la Cour avait dû connaître des faits découlant des deux procédures en cause, elle aurait donc fixé une amende de base de CHF 400.- pour l'infraction à la LMDPu, qu'elle aurait aggravée de CHF 200.- (peine hypothétique : CHF 300.-) pour l'infraction à la LMDPu dans la présente affaire et de CHF 100.- (peine hypothétique : CHF 150.-) pour la violation simple des règles de la circulation routière. Comme la sanction du 7 août 2024 est en force, il s'ensuit que l'amende complémentaire à infliger à E______ devrait s'élever à un montant de CHF 200.-. Compte tenu des deux jours de détention avant jugement subis par l'intimé, l'amende complémentaire sera toutefois d'une quotité nulle. 7.4.3. S'agissant de C______, il y a concours d'infractions, facteur d'aggravation de la peine. Une amende de CHF 300.- apparaît adéquate pour sanctionner l'infraction la plus grave, soit celle de violation à l'art. 10 LMDPu, à laquelle il sied d'ajouter CHF 200.- (peine hypothétique : CHF 300.- ; cf. barème de taxation relatif aux contraventions du Service des contraventions [D.7 – Annexe, p. 70, point N02.H]) pour l'infraction à l'art. 11F LPG. Le montant total de CHF 500.- sera toutefois réduit à CHF 300.- pour tenir compte de la détention avant jugement (équivalente à deux jours, cf. supra point B./a.b.), montant qui est en adéquation avec la situation personnelle de l'intimée. La peine privative de liberté de substitution sera fixée à trois jours.</w:t>
      </w:r>
    </w:p>
    <w:p>
      <w:r>
        <w:rPr>
          <w:b/>
        </w:rPr>
        <w:t>E. 8</w:t>
      </w:r>
    </w:p>
    <w:p>
      <w:r>
        <w:t>Frais de la procédure 8.1.1. Aux termes de l'art. 428 al. 3 CPP, si l'autorité de recours rend elle-même une nouvelle décision, elle se prononce également sur les frais fixés par l'autorité inférieure. Le sort des frais de procédure de première instance est régi par l'art. 426 al. 1 1 ère phr. CPP, aux termes duquel le prévenu supporte les frais de procédure s'il est condamné. La raison en est qu'il a occasionné, par son comportement, l'ouverture et la mise en œuvre de l'enquête pénale (ATF 138 IV 248 consid. 4.4.1). Si le prévenu supporte les frais en application de l'art. 426 al. 1 ou 2 CPP, une indemnité est en règle générale exclue. En revanche, si l'État supporte les frais de la procédure pénale, le prévenu a en principe droit à une indemnité selon l'art. 429 CPP (ATF 137 IV 352 ). 8.1.2. Selon la jurisprudence relative à l'art. 426 al. 2 CPP, mais applicable par analogie à l'art. 430 al. 1 let. a CPP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arrêts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 arrêt 6B_301/2017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6B_301/2017 précité consid. 1.1). La mise des frais à la charge du prévenu doit en effet rester l'exception (ATF 144 IV 202 consid. 2.2).</w:t>
      </w:r>
    </w:p>
    <w:p>
      <w:r>
        <w:rPr>
          <w:b/>
        </w:rPr>
        <w:t>E. 8.2</w:t>
      </w:r>
    </w:p>
    <w:p>
      <w:r>
        <w:t>En l'espèce, les intimés ont été reconnus coupables d'infraction à l'art. 10 LMDPu, et C______ de refus d'obtempérer en sus, ce qui implique de mettre les frais correspondants de la procédure préliminaire et de première instance à leur charge. Les intimés ont été en revanche acquittés de dommages à la propriété, le TP ayant procédé au classement des faits y relatifs. Or, si la procédure n'a pas été menée à terme de ce chef, c'est uniquement en raison du remboursement par les intimés des frais consécutifs à la réparation des désagréments occasionnés à la façade de l'immeuble, ce qui a conduit au retrait de plainte, avant les débats de première instance. On relèvera que le dommage causé au bien d'autrui, protégé civilement (art. 641 du Code civil suisse) et pénalement, et qui a conduit au dépôt d'une plainte, est sans conteste à l'origine de l'ouverture de la présente procédure. Le lien de causalité est dès lors établi et les intimés ne sauraient reprocher au MP d'avoir procédé par excès de zèle, tandis que les actes d'instruction accomplis jusqu'à la saisine de l'autorité de jugement étaient en adéquation avec les faits qui leur étaient reprochés. En définitive, il convient de condamner les intimés à l'intégralité des frais de la procédure préliminaire et de première instance. Ceux-ci seront mis à hauteur de 40% à la charge de C______, reconnue coupable de deux infractions, tandis qu'un pourcentage de 30% sera supporté par A______ et E______ chacun. 8.3.1. Selon l'art. 428 al. 1 1 ère phr. CPP, les frais de la procédure de recours sont mis à la charge des parties dans la mesure où elles ont obtenu gain de cause ou succombé. 8.3.2. Le MP obtient gain de cause sur la culpabilité et la question des frais. Par conséquent, les frais de la procédure d'appel seront supportés par les intimés, ceux-ci comprenant un émolument de CHF 1'200.- (art. 14 al. 1 let. e du règlement fixant le tarif des frais en matière pénale [RTFMP]), dans la même mesure que la clé de répartition retenue supra (cf. consid. 8.2.).</w:t>
      </w:r>
    </w:p>
    <w:p>
      <w:r>
        <w:rPr>
          <w:b/>
        </w:rPr>
        <w:t>E. 9</w:t>
      </w:r>
    </w:p>
    <w:p>
      <w:r>
        <w:t>Indemnités</w:t>
      </w:r>
    </w:p>
    <w:p>
      <w:r>
        <w:rPr>
          <w:b/>
        </w:rPr>
        <w:t>E. 9.1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w:t>
      </w:r>
    </w:p>
    <w:p>
      <w:r>
        <w:rPr>
          <w:b/>
        </w:rPr>
        <w:t>E. 9.2</w:t>
      </w:r>
    </w:p>
    <w:p>
      <w:r>
        <w:t>Compte tenu de ce qui précède, les conclusions en indemnisation des intimés pour la procédure préliminaire, de première instance et d'appel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