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P/25498/2017 vom 30. Mai 2018</w:t>
      </w:r>
    </w:p>
    <w:p>
      <w:r>
        <w:t>GE Cour de justice, 2018-05-30, FR</w:t>
      </w:r>
    </w:p>
    <w:p>
      <w:r>
        <w:rPr>
          <w:b/>
        </w:rPr>
        <w:t xml:space="preserve">Quelle: </w:t>
      </w:r>
      <w:r>
        <w:t>https://mcp.opencaselaw.ch/entscheid/ge_gerichte_P_25498_2017</w:t>
      </w:r>
    </w:p>
    <w:p>
      <w:r>
        <w:t>FR: GE_GERICHTE P/25498/2017 du 30 mai 2018</w:t>
      </w:r>
    </w:p>
    <w:p>
      <w:r>
        <w:t>IT: GE_GERICHTE P/25498/2017 del 30 maggio 2018</w:t>
      </w:r>
    </w:p>
    <w:p>
      <w:pPr>
        <w:pStyle w:val="Heading2"/>
      </w:pPr>
      <w:r>
        <w:t>Regeste</w:t>
      </w:r>
    </w:p>
    <w:p>
      <w:r>
        <w:t>DIFFAMATION ; CALOMNIE | CP.173; CP.174</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La production de faits et de moyens de preuve nouveaux devant l'instance de recours est également admissible et donc recevable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fait grief au Ministère public d'avoir rendu une ordonnance de non-entrée en matière, sans l'entendre, et alors qu'il aurait dû ouvrir une instruction. ![endif]&gt;![if&gt;</w:t>
      </w:r>
    </w:p>
    <w:p>
      <w:r>
        <w:rPr>
          <w:b/>
        </w:rPr>
        <w:t>E. 3.1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3.3</w:t>
      </w:r>
    </w:p>
    <w:p>
      <w:r>
        <w:t>En l'espèce, il ressort des principes rappelés ci-dessus que le Ministère public pouvait, dans le cadre des investigations policières, faire procéder à l'audition des protagonistes impliqués, sans devoir préalablement ouvrir une instruction. Par ailleurs, le droit d'être entendu du recourant – qui comprend le droit de s'exprimer sur les éléments pertinents avant qu'une décision ne soit prise touchant sa situation juridique (ATF 142 II 218 consid. 2.3) – a valablement pu être exercé dans le cadre de la présente procédure. L'ordonnance attaquée ne contrevient donc pas à la loi, du point de vue formel, de sorte que les griefs du recourant seront rejetés.</w:t>
      </w:r>
    </w:p>
    <w:p>
      <w:r>
        <w:rPr>
          <w:b/>
        </w:rPr>
        <w:t>E. 4</w:t>
      </w:r>
    </w:p>
    <w:p>
      <w:r>
        <w:t>En l'espèce, le mis en cause conteste avoir accusé le recourant d'être l'auteur ou le commanditaire des menaces proférées à son encontre, précisant avoir d'ailleurs déposé plainte auprès des autorités contre inconnu. Pour ce qui est des déclarations de E______, celui-ci, entendu à titre de renseignements par la police et non comme témoin " sous serment ", a rapporté de façon indirecte les propos que B______ lui avait tenus plus d'un mois auparavant et entre quatre yeux, à savoir qu'il pensait que l'auteur des menaces de mort pouvait être A______ vu le litige immobilier les opposant. Indépendamment du fait que ces propos, rapportés plus d'un mois plus tard, ont pu être déformés et doivent donc être considérés avec circonspection, il n'apparaît pas que B______ a formellement accusé A______ d'être à l'origine des menaces dont il avait fait l'objet; le fait de faire part à un ami de ses doutes sur l'identité potentielle de l'auteur ne suffit pas à remplir les éléments constitutifs de la diffamation ou de la calomnie puisque le mis en cause a précisément pris les précautions de langage nécessaires pour ne pas jeter l'opprobre sur lui. Sa plainte pénale contre inconnu en est du reste l'illustration, tout comme son courrier du 17 novembre 2017 dans lequel, par avocats interposés, il interpelle A______ pour savoir s'il savait qui pouvait être l'auteur des menaces subies. L'audition du recourant n'apparaît ainsi pas susceptible d'apporter un éclairage nouveau, tout comme celle de F______, requise dans le courrier du 16 juillet 2018, dans la mesure où il s'agit de ouï-dire trop peu circonstanciés. Partant, c'est à juste titre que le Ministère public a considéré qu'il n'y avait pas de prévention pénale suffisante.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R. PFISTER-LIECHTI (éd.), La procédure pénale fédérale, Fondation pour la formation continue des juges suisses, Berne 2010, p. 62; DCPR/85/2011 du 27 avril 2011).</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Le fait d'accuser une personne d'avoir commis un crime ou un délit intentionnel entre dans les prévisions de l'art. 173 ch. 1 CP (ATF 132 IV 112 consid. 2.2 p. 115; 118 IV 248 consid. 2b p. 250 s.; arrêt du Tribunal fédéral 6B_138/2008 du 22 janvier 2009 consid. 3.1.).</w:t>
      </w:r>
    </w:p>
    <w:p>
      <w:r>
        <w:rPr>
          <w:b/>
        </w:rPr>
        <w:t>E. 4.3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5</w:t>
      </w:r>
    </w:p>
    <w:p>
      <w:r>
        <w:t>Justifiée, l'ordonnance querellée sera donc confirmée.![endif]&gt;![if&gt;</w:t>
      </w:r>
    </w:p>
    <w:p>
      <w:r>
        <w:rPr>
          <w:b/>
        </w:rPr>
        <w:t>E. 6</w:t>
      </w:r>
    </w:p>
    <w:p>
      <w:r>
        <w:t>Le recourant, qui succombe, supportera les frais envers l'État, qui seront fixés en totalité à CHF 1'000.- (art. 428 al. 1 CPP et 13 al. 1 du Règlement fixant le tarif des frais en matière pénale, RTFMP;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