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P/2542/2018 vom 20. Juni 2019</w:t>
      </w:r>
    </w:p>
    <w:p>
      <w:r>
        <w:t>GE Cour de justice, 2019-06-20, FR</w:t>
      </w:r>
    </w:p>
    <w:p>
      <w:r>
        <w:rPr>
          <w:b/>
        </w:rPr>
        <w:t xml:space="preserve">Quelle: </w:t>
      </w:r>
      <w:r>
        <w:t>https://mcp.opencaselaw.ch/entscheid/ge_gerichte_P_2542_2018</w:t>
      </w:r>
    </w:p>
    <w:p>
      <w:r>
        <w:t>FR: GE_GERICHTE P/2542/2018 du 20 juin 2019</w:t>
      </w:r>
    </w:p>
    <w:p>
      <w:r>
        <w:t>IT: GE_GERICHTE P/2542/2018 del 20 giugno 2019</w:t>
      </w:r>
    </w:p>
    <w:p>
      <w:pPr>
        <w:pStyle w:val="Heading2"/>
      </w:pPr>
      <w:r>
        <w:t>Regeste</w:t>
      </w:r>
    </w:p>
    <w:p>
      <w:r>
        <w:t>SOUPÇON | CPP.310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de non-entrée en matière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qu'une instruction devrait être ouverte, mais qu'une condamnation pour violation de secrets commerciaux (art. 162 CP) et concurrence déloyale (art. 3 al. 1 let. d et 5 let. a LCD; RS 241) apparaissait d'ores et déjà plus vraisemblable qu'un acquittement.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rPr>
          <w:b/>
        </w:rPr>
        <w:t>E. 3.2</w:t>
      </w:r>
    </w:p>
    <w:p>
      <w:r>
        <w:t>En l'espèce, la thèse de la recourante tient tout entière dans l'assertion qu'un second contrat de travail, identique au premier, résilié, aurait à nouveau lié les parties dès la fin août 2017. Cette thèse ne résiste pas à l'examen. En premier lieu, elle repose sur des prémisses confuses, puisque la recourante affirme avoir été liée à B______ par un contrat de travail dès le 1 er mai 2015, alors que l'exemplaire - non signé - qu'elle produit au dossier est daté du 8 mars 2017 et prévoyait une prise d'emploi le 1 er mars 2017 et alors que le procès-verbal de conciliation des prud'hommes se réfère, lui, à un contrat de travail du 17 mars 2017 dont on ignore tout. Par ailleurs, rien, dans les pièces produites, ne soutient que la recourante et B______ auraient convenu de reprendre leurs relations de travail, qui plus est aux mêmes conditions, après le licenciement immédiat notifié le 29 juin 2017. Dans sa plainte, la recourante allègue avoir mis un terme à ces relations parce que B______ n'avait plus " entré " de nouvelle affaire au printemps 2017, n'était pas présent sur son lieu de travail et laissait transparaître une absence totale d'activité " pour le compte de son employeur " - autrement dit, elle le licenciait pour insuffisance de prestations -. Dans de telles conditions, la recourante devait au moins expliquer et rendre vraisemblable pourquoi - alors qu'elle avait licencié immédiatement son employé et que celui-ci avait contesté son congé - elle avait accepté de le reprendre à son service sans formalité, i.e. sans contrat écrit, en dépit des reproches qu'elle lui faisait quelques semaines plus tôt. Elle devait d'autant plus s'expliquer à ce sujet qu'elle a accepté par-devant les juges du travail - ce qu'elle a passé sous silence dans sa plainte - de délier B______ de l'obligation de non-concurrence à une date - le 28 septembre 2017 - qui tombe précisément dans la période pendant laquelle elle prétend qu'il travaillait à nouveau pour elle, et aux mêmes conditions que par le passé - soit, en particulier, avec l'obligation de non-concurrence dont elle fait grand cas -. Cette contradiction irréductible suffit à ruiner toute vraisemblance, si ce n'est à l'existence d'un second contrat de travail à la fin de l'été et à l'automne 2017, du moins à l'opposabilité d'une obligation contractuelle de non-concurrence à la charge de B______ à cette époque. On ne comprendrait pas l'utilité pour la recourante de renoncer à une telle clause pour un contrat devenu caduc, tout en réengageant l'employé sans forme écrite, mais sous reprise ou maintien de cette injonction particulière, sauf à inférer que l'employeur voulait induire l'employé en erreur sur les conditions auxquelles il travaillait à nouveau pour elle. Inversement, on perçoit tout l'intérêt pour B______ d'obtenir cette levée d'obligation, puisqu'il avait fondé C______ SÀRL quelques jours plus tôt. En d'autres termes, même si la thèse avancée par la recourante était prouvée, B______ pouvait de bonne foi se croire délié de toute clause de non-concurrence après la conciliation prud'homale. Pour les autres griefs, dans la mesure où il n'est ni allégué ni établi que la " convention de livraison de rendez-vous " du 2 octobre 2016 aurait été résiliée, les explications de B______ apparaissent plus crédibles que celles de la recourante. En effet, comme allégué dans la plainte, les 49 rendez-vous " achetés " par lui au moyen de cette " bourse aux rendez-vous " tombent sous le coup de la convention précitée. Si ce texte prévoit qu'un rendez-vous avec un client est choisi par " l'employé " sur une plateforme internet, moyennant une redevance due à la recourante, il ne stipule à la charge de " l'employé " rien de plus qu'une obligation de rendre compte des suites du contact. Or, les messages électroniques échangés entre B______ et la recourante, tels que celle-ci les produit, vont dans ce sens. Ils ne dénotent pas une captation de clientèle au profit de C______ SÀRL. La recourante n'avait de toute façon pas introduit d'interdiction ou de réserve à ce sujet dans la convention. Que, pour le surplus, les rendez-vous " achetés " par B______ n'aient pas été fructueux ne regarde pas le droit pénal.</w:t>
      </w:r>
    </w:p>
    <w:p>
      <w:r>
        <w:rPr>
          <w:b/>
        </w:rPr>
        <w:t>E. 4</w:t>
      </w:r>
    </w:p>
    <w:p>
      <w:r>
        <w:t>Faute de soupçon suffisant et de mesures probatoires propres à infirmer ce que les pièces du dossier suffisent à établir, le recours est privé de fondement et doit être rejeté. Il n'y a donc pas à s'intéresser aux autres associés gérants de C______ SÀRL.</w:t>
      </w:r>
    </w:p>
    <w:p>
      <w:r>
        <w:rPr>
          <w:b/>
        </w:rPr>
        <w:t>E. 5</w:t>
      </w:r>
    </w:p>
    <w:p>
      <w:r>
        <w:t>La recourante, qui succombe, supportera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