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P/25348/2018 vom 27. Juni 2023</w:t>
      </w:r>
    </w:p>
    <w:p>
      <w:r>
        <w:t>GE Cour de justice, 2023-06-27, FR</w:t>
      </w:r>
    </w:p>
    <w:p>
      <w:r>
        <w:rPr>
          <w:b/>
        </w:rPr>
        <w:t xml:space="preserve">Quelle: </w:t>
      </w:r>
      <w:r>
        <w:t>https://mcp.opencaselaw.ch/entscheid/ge_gerichte_P_25348_2018</w:t>
      </w:r>
    </w:p>
    <w:p>
      <w:r>
        <w:t>FR: GE_GERICHTE P/25348/2018 du 27 juin 2023</w:t>
      </w:r>
    </w:p>
    <w:p>
      <w:r>
        <w:t>IT: GE_GERICHTE P/25348/2018 del 27 giugno 2023</w:t>
      </w:r>
    </w:p>
    <w:p>
      <w:pPr>
        <w:pStyle w:val="Heading2"/>
      </w:pPr>
      <w:r>
        <w:t>Regeste</w:t>
      </w:r>
    </w:p>
    <w:p>
      <w:r>
        <w:t>ESCROQUERIE;ATTEINTE ASTUCIEUSE AUX INTÉRÊTS PÉCUNIAIRES;SUSPENSION DE L'EXÉCUTION DE LA PEINE;TRAITEMENT AMBULATOIRE | CP.151; CP.146.al1; CP.47; CP.19.al2; CP.56.al1; CP.63.al1; CP.63.al2; CP.63a.al1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 peine menace de l'art. 146 al. 1 CP est une peine privative de liberté de cinq ans au plus, tandis que celle prévue par l'art. 151 CP est une peine privative de liberté de trois ans au plus. Ces infractions sont, alternativement, réprimées par 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2.2.2. Bien que la récidive ne constitue plus un motif d'aggravation obligatoire de la peine (art. 67 aCP), les antécédents continuent de jouer un rôle très important dans la fixation de celle-ci (M. NIGGLI / H. WIPRÄCHTIGER, Basler Kommentar Strafrecht I : 1-110 StGB, Jugendstrafgesetz ,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p. 89). 2.2.3. Le juge atténue la peine en application de l'art. 19 al. 2 CP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 2.2.4.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2.2.5. La durée de la peine privative de liberté est en règle générale de trois jours au moins et de 20 ans au plus (art. 40 CP). 2.2.6. Selon l'art. 42 al. 1 CP, le juge suspend en règle générale l'exécution d'une peine pécuniaire ou d'une peine privative de liberté de deux ans au plus lorsqu'une peine ferme ne paraît pas nécessaire pour détourner l'auteur d'autres crimes ou délits.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2.3.1.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2.3.2.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Dans tous les cas, l'autorité compétente vérifie au moins une fois par an s'il y a lieu de poursuivre le traitement ambulatoire ou de l'arrêter (art. 63a al. 1 CP). 2.3.3.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(ATF 135 IV 180 consid. 2.3 ; arrêt du Tribunal fédéral 6B_1227/2015 du 29 juillet 2016 consid. 1.2.4). Les conditions du sursis, intégral ou partiel, ne sont ainsi pas remplies, de sorte qu'une peine ferme doit être prononcée (arrêts du Tribunal fédéral 6B_268/2008 du 2 mars 2009 consid. 6 et 6B_769/2008 du 18 juin 2009 consid. 2.3). 2.3.4. En vertu de l'art. 63 al. 2 CP, si la peine n'est pas compatible avec le traitement, le juge peut suspendre, au profit d'un traitement ambulatoire, l'exécution d'une peine privative de liberté ferme prononcée en même temps que le traitement. Une assistance de probation ou des règles de conduite peuvent être ordonnées. Le principe est que la peine est exécutée et que le traitement ambulatoire est suivi en même temps. La suspension de la peine revêt un caractère exceptionnel (ATF 129 IV 161 consid. 4.1 et 4.3 p. 162 ss ; arrêts du Tribunal fédéral 6B_1150/2014 du 19 novembre 2015 consid. 3.2.2 ; 6B_335/2012 du 13 août 2012 consid. 2.1). Ainsi, chaque fois qu'une peine est apte, seule, à prévenir une nouvelle infraction, elle doit être ordonnée. Un traitement ambulatoire, et la suspension éventuelle de l'exécution de la peine, nécessitent une justification particulière (arrêt du Tribunal fédéral 6B_282/2007 du 5 octobre 2007 consid. 4.2 avec référence à l'ATF 129 IV 161 consid. 4.1 et 4.3). La suspension ne pourra ainsi être ordonnée que si l'auteur ne constitue pas un danger pour la collectivité et que le traitement ambulatoire s'avère prioritaire (arrêt du Tribunal fédéral 6B_1250/2014 du 29 septembre 2015 consid. 5.2). En principe, la probabilité que l'auteur puisse commettre des infractions avec violence suffit pour exclure la suspension de la peine. Inversement, on ne saurait appliquer la même conséquence à des infractions contre le patrimoine. En cas d'infractions de gravité moyenne, il convient d'en examiner les caractéristiques et l'intensité. Les effets escomptés du traitement sont également à prendre en compte dans cette appréciation puisqu'une prise en charge adéquate peut entraîner une baisse du risque de récidive et donc de la dangerosité pour des tiers (L. MOREILLON / A. MACALUSO / N. QUELOZ / N. DONGOIS (éds), Commentaire romand, Code pénal I, art. 1-110 CP , 2 ème éd., Bâle 2021, n. 24 ad art. 63). La suspension doit aussi se justifier suffisamment par des motifs thérapeutiques. Une suspension doit être ordonnée si la perspective du succès du traitement est considérablement compromise par l'exécution de la peine privative de liberté prononcée. Il n'est toutefois pas nécessaire que le traitement pendant l'exécution soit totalement impossible ou dépourvu de chances de succès (ATF 116 IV 101 consid. 1.a. et références citées). La thérapie doit être privilégiée lorsqu'un traitement immédiat offre de bonnes chances de réinsertion, alors qu'un séjour carcéral les anéantirait ou les diminuerait clairement (arrêt du Tribunal fédéral 6B_1150/2014 du 19 novembre 2015 consid. 3.2.2). La suspension n'apparaît pas justifiée si on ne peut espérer que la thérapie sera fructueuse seulement à long terme et de manière modeste (ATF 129 IV 161 consid. 5.4). De même, les effets néfastes de la détention sur le plan familial, professionnel et social ne suffisent pas (arrêt du Tribunal fédéral 6B_698/2017 du 13 octobre 2017 consid. 7.3). Si l'auteur a volontairement suivi avec succès une thérapie avant le jugement et jusqu'à son prononcé, une suspension de la peine peut être indiquée (M. DUPUIS / L. MOREILLON / C. PIGUET / S. BERGER / M. MAZOU / V. RODIGARI [éds], Code pénal - Petit commentaire , 2 e éd., Bâle 2017, n. 14 ad art. 63). Il faut ainsi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(ATF 116 IV 101 consid. 1.a ; 129 IV 161 consid. 4.1 ; arrêt du Tribunal fédéral 6B_1150/2014 du 19 novembre 2015 consid. 3.2.2). Pour certaines personnes condamnées, il peut être bénéfique de suivre le traitement ambulatoire en détention. Le cadre pénitentiaire apporte une structure journalière, des activités, la possibilité de se former et implique une mise à l'écart de facteurs criminogènes pour un certain temps. En revanche, pour d'autres, un séjour carcéral peut se révéler néfaste voir même contreproductif. En général, le maintien des liens prosociaux ainsi que d'une activité professionnelle à l'extérieur a une influence positive et devrait ainsi favoriser la réussite de la mesure (L. MOREILLON / A. MACALUSO / N. QUELOZ / N. DONGOIS (éds), op. cit. , n. 25 ad art. 63).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 du Tribunal fédéral 6B_992/2017 du 11 décembre 2017 consid. 2.1.2). 2.4.1. Dans l'absolu, la faute de l'appelant pour les deux crimes et le délit commis peut être qualifiée de grave. Il s'en est pris au patrimoine d'autrui, sans égard au temps et à l'énergie qu'il faisait perdre en sus à ses interlocuteurs. Il a agi sans scrupules et sur plusieurs mois, profitant de la confiance que les lésés lui avaient accordée. De par ses actes, il a fait perdre plus de CHF 325'000.- à D______ SÀRL, tout en s'enrichissant de CHF 5'385.-. Alors qu'une procédure pénale était menée à son encontre pour ces faits, il a commis une seconde escroquerie, certes pour un montant moindre, mais basée sur les mêmes motivations. Pour parfaire son personnage, il n'a pas hésité à fabriquer de fausses preuves de paiement, à signer des contrats et à interagir avec de multiples professionnels, tant lors de rendez-vous fictifs que par écrit. Son comportement démontre un mépris complet des valeurs d'autrui. Contrairement à ce que soutient l'appelant, aucune responsabilité des lésés n'entre en considération pour diminuer sa faute. Sa culpabilité, non contestée en appel, est acquise, en particulier au vu de son attitude et des préparatifs mis en place pour duper les plaignants, qui étaient légitimés à croire pour vraies ses paroles et ses fausses intentions, malgré tout éventuel doute qu'ils auraient pu avoir. Il en va de même du fait qu'ils ont renoncé à leurs prétentions, voire que l'un deux s'est destitué par la suite de sa constitution de partie plaignante, points qui n'ont aucune incidence sur le comportement et les agissements de l'appelant et, partant, sur la faute de celui-ci. Sa situation personnelle, marquée par les pathologies dont il souffre, peut expliquer en partie ses agissements, raison pour laquelle les experts ont retenu que sa responsabilité était moyennement restreinte, sans pour autant les justifier. Ses mobiles, autant qu'ils sont discernables, s'apparentent à un besoin de reconnaissance et de se sentir exister à travers un faux rôle, visant à combler un manque de confiance en lui. Il a agi par pure convenance personnelle, soit pour un mobile égoïste et futile. Sa collaboration peut être qualifiée de bonne dans la mesure où il a admis l'intégralité des faits. Sa prise de conscience semble à ce jour bien amorcée. Il admet en effet l'entièreté de sa culpabilité et le diagnostic posé, ainsi que la nécessité d'un traitement thérapeutique, ayant pris conscience de ses pathologies. Il a toutefois récidivé peu de temps après sa dernière condamnation prononcée le 18 janvier 2018 et, pour ce qui est du deuxième complexe de faits reproché, deux mois seulement après son audition au MP en juillet 2019 pour le même type d'infractions, persuadé que ses agissements n'allaient pas avoir de conséquences sur la procédure pénale en cours. Ces constatations appuient ainsi nécessairement le fait que la prise de conscience de ses agissements et de son trouble est plus que récente. Aucun motif justificatif n'entre en considération. Ses antécédents pénaux sont mauvais et spécifiques. Il n'a tiré aucune leçon de ses précédentes condamnations, dont la majorité est pourtant relativement ancienne, ce qui démontre un ancrage dans la délinquance et non une simple rechute ponctuelle, comme le soutient l'appelant. Il y a concours d'infractions, facteur d'aggravation de la peine. Seule une peine privative de liberté peut sanctionner adéquatement la faute de l'appelant, ce qu'il ne conteste d'ailleurs pas. 2.4.2. Considérée abstraitement, la faute de l'appelant est lourde et de tels faits emporteraient une peine privative de liberté de 18 mois à tout le moins, vu le concours d'infractions [peine privative de liberté de 12 mois pour l'escroquerie, commise à deux reprises , augmentée de six mois pour tenir compte de l'atteinte astucieuse aux intérêts pécuniaires d'autrui (peine hypothétique de huit mois)]. Vu la responsabilité moyennement restreinte de l'appelant et compte tenu de l'ensemble des éléments précités , sa faute doit en définitive être qualifiée de moyenne. La peine privative de liberté de 12 mois prononcée par le premier juge est ainsi adéquate et sera donc confirmée. Contrairement à ce que soutient l'appelant, le pronostic est défavorable. Les experts ont justement souligné qu'au vu de son trouble, le risque de récidive d'infractions du même type était élevé, raison pour laquelle ils préconisent un traitement ambulatoire afin de réduire ce risque, mesure que l'appelant ne conteste d'ailleurs pas. Une peine ferme s'impose donc. L'appel sera partant rejeté sur ce point. 2.4.3. Le traitement ambulatoire (art. 63 CP) prononcé par le TP et non contesté en appel, dans la mesure où l'appelant a retiré, lors des débats, sa conclusion y relative, est conforme aux conclusions des experts, dont il n'y a pas lieu de s'écarter, et sera partant confirmé. Il est renvoyé au considérant quatre du jugement de première instance à ce propos ( cf. art. 82 al. 4 CPP). 2.4.4. L'appelant requiert toutefois, dans ces circonstances, que la peine soit suspendue au profit de la mesure. Les experts ont, certes, considéré que le traitement ambulatoire n'était pas concrètement incompatible avec l'exécution d'une peine privative de liberté. Cela étant, ils ont également souligné que le fait de purger cette peine n'était pas adéquat pour une prise en charge idéale de l'appelant, ce qui permet déjà de douter de la réelle efficacité de la mesure dans ce contexte. Il convient également de ne pas perdre de vue que l'appelant est en liberté depuis plusieurs années et qu'il s'est astreint à un suivi thérapeutique régulier depuis 2017, initié de manière volontaire. Bien qu'en janvier 2021 les experts ont considéré que ce suivi ne semblait pas encore porter ses fruits, ils ont aussi estimé qu'une mesure ambulatoire, d'une durée d'au moins deux ans, de type psychothérapeutique, axé sur un travail sur l'estime de soi, était susceptible de diminuer le risque de récidive et ce, en prenant en considération tant les éventuelles maigres résultats de cette thérapie que le fait que la réussite de cette mesure dépendait aussi de la volonté de changement de l'expertisé. Or, même si le traitement mis en place depuis 2017 n'a pas eu d'effets immédiats, dès lors que l'appelant a récidivé après l'avoir initié, l'appelant semble toutefois avoir évolué positivement depuis lors. Il n'a plus commis d'infractions dès 2018 et 2019, en particulier depuis la fin de l'instruction et l'audience de jugement. Ces résultats doivent être pris en considération puisqu'ils démontrent que cette prise en charge, après plusieurs années de thérapie, est adéquate et entraîne une baisse du risque de récidive et donc de l'éventuelle dangerosité de l'appelant, qui a fait preuve d'une volonté de changement ces deux dernières années, étant souligné que les infractions commises ont touché uniquement au patrimoine et non à un bien juridique plus précieux. Comme relevé précédemment, la prise de conscience de l'appelant semble être amorcée et il importe de l'encourager dans cette voie, d'autant qu'il semble avoir fait des progrès dans sa vie privée. Il a en effet réussi à trouver, seul, un appartement, ce qui lui a permis de reprendre confiance dans ses aptitudes et sa valeur, facteurs d'une importance primordiale dès lors que ses agissements avaient comme utilité principale une réassurance narcissique. L'appelant semble également avoir désormais un quotidien plus adapté et en adéquation avec ses conditions de vie. Il sied par conséquent de préserver au mieux le cadre de vie que l'appelant s'est construit afin de lui assurer la stabilité propice et nécessaire à son traitement et à la réussite de celui-ci. À cela s'ajoute que la santé de l'appelant s'est passablement dégradée dernièrement, ce qui a eu nécessairement un impact sur lui et la manière dont il perçoit désormais son avenir. Dans ces conditions, on voit mal comment il pourrait se concentrer tant sur sa santé mentale que physique lors d'un séjour carcéral. Au contraire, ses chances de réinsertion seraient clairement amoindries en cas d'incarcération et il se retrouverait dans une situation instable, ce qui augmenterait nécessairement le risque de récidive. La peine privative de liberté se révèlerait ainsi néfaste et contreproductive puisqu'elle l'isolerait davantage. L'appelant doit ainsi pouvoir poursuivre ses efforts hors milieu carcéral, la confrontation avec le monde extérieur étant de nature à lui permettre de démontrer la réalité des progrès effectués et sa volonté dans la durée. Au vu de ces éléments, il se justifie de suspendre la peine privative de liberté fixée au profit du traitement ambulatoire. L'attention de l'appelant sera toutefois attirée sur le fait qu'il lui appartient de respecter les conditions fixées par le présent arrêt, à savoir s'astreindre à un traitement psychothérapeutique, de manière régulière, tel que préconisé par les experts, afin d'éviter tout risque de récidive, sous peine d'une réincarcération pour le solde de sa peine, nonobstant le prononcé d'une éventuelle nouvelle peine ou mesure.</w:t>
      </w:r>
    </w:p>
    <w:p>
      <w:r>
        <w:rPr>
          <w:b/>
        </w:rPr>
        <w:t>E. 3</w:t>
      </w:r>
    </w:p>
    <w:p>
      <w:r>
        <w:t>Dès lors que les experts préconisent une collaboration entre le thérapeute et le SAPEM dans le cadre du traitement ambulatoire, la transmission à cette institution du jugement de première instance, du procès-verbal de l'audience de jugement, du rapport d'expertise psychiatrique du 25 janvier 2021, ainsi que du procès-verbal de l'audition des experts du 12 avril 2021 est nécessaire et utile, ce que l'appelant reconnaît. Elle sera donc confirmée (art. 75 al. 1 CPP).</w:t>
      </w:r>
    </w:p>
    <w:p>
      <w:r>
        <w:rPr>
          <w:b/>
        </w:rPr>
        <w:t>E. 4</w:t>
      </w:r>
    </w:p>
    <w:p>
      <w:r>
        <w:t>Les mesures de confiscation et destruction, qui n'ont pas été remises en cause en appel, seront également confirmées.</w:t>
      </w:r>
    </w:p>
    <w:p>
      <w:r>
        <w:rPr>
          <w:b/>
        </w:rPr>
        <w:t>E. 5.1</w:t>
      </w:r>
    </w:p>
    <w:p>
      <w:r>
        <w:t>L'appelant, qui succombe très majoritairement, supportera 90 % des frais de la procédure envers l'État, comprenant un émolument de jugement de CHF 1'200.- (art. 428 al. 1 CPP). Le solde de ces frais sera laissé à la charge de l'État.</w:t>
      </w:r>
    </w:p>
    <w:p>
      <w:r>
        <w:rPr>
          <w:b/>
        </w:rPr>
        <w:t>E. 5.2</w:t>
      </w:r>
    </w:p>
    <w:p>
      <w:r>
        <w:t>Sa culpabilité étant acquise, la mise à sa charge des frais de première instance sera confirmée (art. 426 al. 1 CPP a contrario ).</w:t>
      </w:r>
    </w:p>
    <w:p>
      <w:r>
        <w:rPr>
          <w:b/>
        </w:rPr>
        <w:t>E. 6</w:t>
      </w:r>
    </w:p>
    <w:p>
      <w:r>
        <w:t>6.1.1. Selon l'art. 135 al. 1 CPP, le défenseur d'office est indemnisé selon le tarif des avocats de la Confédération ou du canton du for du procès. Devant les juridictions genevoises, l'art. 16 du règlement sur l'assistance juridique (RAJ) s'applique. Cette dernière disposition prescrit que l'indemnité, en matière pénale, est calculée selon le tarif horaire débours de l'étude inclus de CHF 110.- pour un avocat stagiaire (let. a), de CHF 150.- pour un collaborateur (let. b) et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6.1.2.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L'État n'indemnise ainsi que les démarches nécessaires à la bonne conduite de la procédure pour la partie qui jouit d'une défense d'office. Il ne saurait être question d'indemniser toutes les démarches souhaitables ou envisageables. Le mandataire d'office doit gérer son mandat conformément au principe d'économie de procédure (décision de la Cour des plaintes du Tribunal pénal fédéral BB.2013.22 du 31 octobre 2013 consid. 5.2.3). Ainsi, le temps consacré à la rédaction d'écritures inutiles ou reprenant une argumentation déjà développée, fût-ce devant une autorité précédente, ne saurait donner lieu à indemnisation supplémentaire ( AARP/295/2015 du 12 juillet 2015 consid. 8.2.2.3, 8.2.2.6, 8.3.1.1 et 8.3.2.1). 6.1.3. L'activité consacrée aux conférences, audiences et autres actes de la procédure est majorée de 20 %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 ACPR/774/2016 du 6 décembre 2016 consid. 6.4 ; ACPR/209/2017 du 28 mars 2017 consid. 6.1). 6.1.4.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dite rémunération étant allouée d'office par la juridiction d'appel pour les débats devant elle.</w:t>
      </w:r>
    </w:p>
    <w:p>
      <w:r>
        <w:rPr>
          <w:b/>
        </w:rPr>
        <w:t>E. 6.2</w:t>
      </w:r>
    </w:p>
    <w:p>
      <w:r>
        <w:t>En application de ces principes, il convient de retrancher de l'état de frais de M e B______ : - 60 minutes d'entretien avec le client, 90 minutes étant suffisantes pour l'orienter sur l'opportunité d'un appel et la suite de la procédure ainsi que pour recueillir d'éventuelles informations pertinentes complémentaires et préparer son audition ; - la rédaction de la déclaration d'appel, activité couverte par le forfait ; - l'étude du dossier sera ramenée à quatre heures, activité devant suffire à une collaboratrice, malgré sa constitution tardive, vu le temps déjà consacré à la préparation de l'audience qui sera admis dans son intégralité, alors que seule la peine est contestée. Sa rémunération sera donc arrêtée à CHF 2'002.20 correspondant à une heure et 30 minutes d'activité aux taux horaire de CHF 200.- (CHF 300.-), sept heures et 40 minutes d'activité au taux horaire de CHF 150.- (CHF 1'150.-) et 20 minutes aux taux horaires de CHF 110.- (CHF 36.70), plus le forfait de 20 % (CHF 297.35), la vacation (CHF 75.-) et la TVA (CHF 143.15).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