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P/25246/2022 vom 12. Februar 2024</w:t>
      </w:r>
    </w:p>
    <w:p>
      <w:r>
        <w:t>GE Cour de justice, 2024-02-12, FR</w:t>
      </w:r>
    </w:p>
    <w:p>
      <w:r>
        <w:rPr>
          <w:b/>
        </w:rPr>
        <w:t xml:space="preserve">Quelle: </w:t>
      </w:r>
      <w:r>
        <w:t>https://mcp.opencaselaw.ch/entscheid/ge_gerichte_P_25246_2022</w:t>
      </w:r>
    </w:p>
    <w:p>
      <w:r>
        <w:t>FR: GE_GERICHTE P/25246/2022 du 12 février 2024</w:t>
      </w:r>
    </w:p>
    <w:p>
      <w:r>
        <w:t>IT: GE_GERICHTE P/25246/2022 del 12 febbraio 2024</w:t>
      </w:r>
    </w:p>
    <w:p>
      <w:pPr>
        <w:pStyle w:val="Heading2"/>
      </w:pPr>
      <w:r>
        <w:t>Regeste</w:t>
      </w:r>
    </w:p>
    <w:p>
      <w:r>
        <w:t>IN DUBIO PRO DURIORE;CONTRAVENTION;PRESCRIPTION;MINORITÉ(ÂGE);TRIBUNAL DES MINEURS | CP.198; CP.189</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plaignate qui, partie à la procédure (art. 104 al. 1 let. b CPP), a qualité pour agir, ayant un intérêt juridiquement protégé à la modification ou à l'annulation de la décision querellée (art. 382 al. 1 CPP).</w:t>
      </w:r>
    </w:p>
    <w:p>
      <w:r>
        <w:rPr>
          <w:b/>
        </w:rPr>
        <w:t>E. 2</w:t>
      </w:r>
    </w:p>
    <w:p>
      <w:r>
        <w:t>Pour autant que les faits dénoncés doivent être qualifiés d'infraction à l'art. 198 al. 2 CP, la recourante se plaint d'une inaction du Tribunal des mineurs pendant plusieurs mois ayant conduit à la prescription de ladite infraction et au classement de la procédure de ce chef. Elle considère par ailleurs que c'était à tort que cette juridiction n'avait pas condamné les deux prévenus pour injure.</w:t>
      </w:r>
    </w:p>
    <w:p>
      <w:r>
        <w:rPr>
          <w:b/>
        </w:rPr>
        <w:t>E. 2.1</w:t>
      </w:r>
    </w:p>
    <w:p>
      <w:r>
        <w:t>L'art. 187 ch. 1 CP punit celui qui aura commis un acte d'ordre sexuel sur un enfant de moins de 16 ans (al. 1), celui qui aura entraîné un enfant de cet âge à commettre un acte d'ordre sexuel (al. 2) et celui qui aura mêlé un enfant de cet âge à un acte d'ordre sexuel (al. 3). Selon l'art. 187 ch. 2 CP, si la différence d'âge entre les deux protagonistes (dont l'un est forcément âgé de moins de 16 ans) est égale ou inférieure à trois ans, l'acte n'est pas punissable.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p. 63 ;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 En revanche, des baisers sur la bouche ou sur la joue, ne constituent généralement pas un acte sexuel au sens de l'art. 187 CP (arrêts du Tribunal fédéral 6B_1002/2019 du 28 novembre 2019 consid. 2.2 et 2.4 ; 6B_7/2011 du 15 février 2011 consid. 1.2 et 1.4).</w:t>
      </w:r>
    </w:p>
    <w:p>
      <w:r>
        <w:rPr>
          <w:b/>
        </w:rPr>
        <w:t>E. 2.2</w:t>
      </w:r>
    </w:p>
    <w:p>
      <w:r>
        <w:t>Se rend coupable de la contravention réprimée par l'art. 198 al. 2 CP la personne qui en aura importuné une autre par des attouchements d'ordre sexuel ou des paroles grossières.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6P.120/2005 du 11 décembre 2005 consid. 9.1). On vise ici, en particulier, les " mains baladeuses ".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 6P.123/2003 du 21 novembre 2003 consid. 6.1). Tombent aussi sous le coup de l'art. 198 al. 2 CP d'autres attouchements, comme la palpation du ventre ou des jambes même à travers les vêtements, la pression ou l'enlacement (cf. ATF 137 IV 263 consid. 3.1 p. 267 ; arrêt du Tribunal fédéral 6B_1019/2018 du 2 novembre 2018 consid. 3.3). Si l'auteur ne se limite pas à un attouchement, par nature fugace, mais accomplit un acte d'ordre sexuel, l'art. 189 CP est seul applicable (arrêts du Tribunal fédéral 6B_35/2017 du 26 février 2018 consid. 4.2 ; 6B_303/2008 du 22 janvier 2009 consid. 3). Est dès lors déterminante, pour décider si l'art. 189 CP doit être appliqué ou si seul entre en considération l'art. 198 al. 2 CP, l'intensité de l'attouchement, savoir s'il s'agissait d'un geste furtif ou d'une caresse insistante (arrêt du Tribunal fédéral 6B_35/2017 du 26 février 2018 consid. 4.2). Cette disposition suppose, d'un point de vue subjectif, que l'auteur eut voulu ou à tout le moins envisagé que ses agissements pussent importuner la victime (ATF 137 IV 263 consid. 3.1 p. 267 ; arrêt du Tribunal fédéral 6B_426/2019 du 31 juillet 2019 consid. 1.4).</w:t>
      </w:r>
    </w:p>
    <w:p>
      <w:r>
        <w:rPr>
          <w:b/>
        </w:rPr>
        <w:t>E. 2.3</w:t>
      </w:r>
    </w:p>
    <w:p>
      <w:r>
        <w:t>Selon l'art. 109 CP, en matière de contraventions (art. 103 CP), l’action pénale et la peine se prescrivent par trois ans. L'art. 36 al. 1 let. c DPMin prévoit toutefois une prescription moindre de un an notamment pour les contraventions.</w:t>
      </w:r>
    </w:p>
    <w:p>
      <w:r>
        <w:rPr>
          <w:b/>
        </w:rPr>
        <w:t>E. 2.4</w:t>
      </w:r>
    </w:p>
    <w:p>
      <w:r>
        <w:t>Concrétisant le principe de la célérité, l'art. 5 CPP (applicable selon l'art. 3 al. 1 PPmin en l'absence de disposition particulière) impose aux autorités pénales d'engager les procédures pénales sans délai et de les mener à terme sans retard injustifié (al. 1).</w:t>
      </w:r>
    </w:p>
    <w:p>
      <w:r>
        <w:rPr>
          <w:b/>
        </w:rPr>
        <w:t>E. 2.4.1</w:t>
      </w:r>
    </w:p>
    <w:p>
      <w:r>
        <w:t>Les art. 5 CPP et 29 al. 1 Cst. garantissent notamment à toute personne le droit à ce que sa cause soit traitée dans un délai raisonnable. Le caractère raisonnable du délai s'apprécie selon les circonstances particulières de la cause, eu égard notamment à la complexité de l'affaire, à l'enjeu du litige pour l'intéressé, à son comportement ainsi qu'à celui des autorités compétentes (ATF 135 I 265 consid. 4.4).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(ATF 128 I 149 consid. 2.2, rendu en matière de détention préventive).</w:t>
      </w:r>
    </w:p>
    <w:p>
      <w:r>
        <w:rPr>
          <w:b/>
        </w:rPr>
        <w:t>E. 2.4.2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2.5</w:t>
      </w:r>
    </w:p>
    <w:p>
      <w:r>
        <w:t>En l'espèce, il ressort de la procédure que B______ a, le 18 août 2022, à tout le moins touché les seins et les fesses de la partie plaignante par-dessus les habits durant "</w:t>
      </w:r>
    </w:p>
    <w:p>
      <w:r>
        <w:rPr>
          <w:b/>
        </w:rPr>
        <w:t>E. 5</w:t>
      </w:r>
    </w:p>
    <w:p>
      <w:r>
        <w:t>À ce stade, il n'y a pas lieu d'indemniser le conseil juridique gratuit ni le défenseur d'office (art. 135 al. 2 et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