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P/25227/2022 vom 24. September 2024</w:t>
      </w:r>
    </w:p>
    <w:p>
      <w:r>
        <w:t>GE Cour de justice, 2024-09-24, FR</w:t>
      </w:r>
    </w:p>
    <w:p>
      <w:r>
        <w:rPr>
          <w:b/>
        </w:rPr>
        <w:t xml:space="preserve">Quelle: </w:t>
      </w:r>
      <w:r>
        <w:t>https://mcp.opencaselaw.ch/entscheid/ge_gerichte_P_25227_2022</w:t>
      </w:r>
    </w:p>
    <w:p>
      <w:r>
        <w:t>FR: GE_GERICHTE P/25227/2022 du 24 septembre 2024</w:t>
      </w:r>
    </w:p>
    <w:p>
      <w:r>
        <w:t>IT: GE_GERICHTE P/25227/2022 del 24 settembre 2024</w:t>
      </w:r>
    </w:p>
    <w:p>
      <w:pPr>
        <w:pStyle w:val="Heading2"/>
      </w:pPr>
      <w:r>
        <w:t>Regeste</w:t>
      </w:r>
    </w:p>
    <w:p>
      <w:r>
        <w:t>INSOUMISSION À UNE DÉCISION DE L'AUTORITÉ;FRAIS JUDICIAIRES | CP.292; CPP.398.al4; CPP.428; CPP.429</w:t>
      </w:r>
    </w:p>
    <w:p>
      <w:pPr>
        <w:pStyle w:val="Heading2"/>
      </w:pPr>
      <w:r>
        <w:t>Erwägungen</w:t>
      </w:r>
    </w:p>
    <w:p>
      <w:r>
        <w:rPr>
          <w:b/>
        </w:rPr>
        <w:t>E. 1.1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 2.1. Selon l'art. 292 aCP, celui qui ne se sera pas conformé à une décision à lui signifiée, sous la menace de la peine prévue au présent article, par une autorité ou un fonctionnaire compétents sera puni d'une amende. L'art. 292 CP vise à assurer le respect des injonctions des autorités (cf. arrêts du Tribunal fédéral 1B_253/2019 du 11 novembre 2019 consid. 5.1 ; 1B_250/2008 du 13 mai 2009 consid. 6). La définition de la décision au sens de l'art. 292 CP est la même que celle qui a été développée en droit administratif. Il doit donc s'agir d'une décision concrète de l'autorité, prise dans un cas particulier et à l'égard d'une personne déterminée et qui a pour objet de régler une situation juridique de manière contraignante (ATF 147 IV 145 consid. 2.1 ; 131 IV 32 consid. 3). La décision doit par ailleurs avoir été prise par une autorité ou un fonctionnaire compétent, cette compétence s'entendant en raison du lieu, de la matière et de l'attribution (ATF 147 IV 145 consid. 2.1 ; 122 IV 340 consid. 2). Dans son arrêt publié au recueil officiel 147 IV 145 , le Tribunal fédéral rappelle que 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(cf. ATF 129 IV 246 consid. 2.1 et 2.2 ; cf. aussi arrêt du Tribunal fédéral 6B_1006/2008 du 5 mars 2009 consid. 3.3.5.2 et les références citées). Lorsque la décision émane d'une juridiction civile, la question de savoir si et dans quelle mesure le juge pénal peut revoir sa légalité a été laissée ouverte par le Tribunal fédéral (cf. ATF 121 IV 29 consid. 2a p. 31 s.). En tous les cas, en supposant que le juge pénal ne soit pas lié par la décision de la juridiction civile, son pouvoir d'examen serait limité à l'arbitraire (cf. arrêts du Tribunal fédéral 6B_449/2015 du 2 mai 2016 consid. 3 ; 6B_547/2012 du 26 mars 2013 consid. 2.1). L'insoumission doit être intentionnelle. L'intention suppose la connaissance de l'injonction, de sa validité et des conséquences pénales de l'insoumission. Le dol éventuel suffit (ATF 147 IV 145 consid. 2.1 ; 119 IV 238 consid. 2a).</w:t>
      </w:r>
    </w:p>
    <w:p>
      <w:r>
        <w:rPr>
          <w:b/>
        </w:rPr>
        <w:t>E. 3</w:t>
      </w:r>
    </w:p>
    <w:p>
      <w:r>
        <w:t>3.1. En principe, aucune nouvelle preuve ne peut être produite devant la Cour de céans, lorsqu'elle statue en matière contraventionnelle. Cela étant, l'ordonnance sur mesures provisionnelles prononcée par le TPAE l'a été en date du 13 avril 2022, soit avant même que l'ordonnance pénale ayant frappé l'appelant ne soit rendue, a fortiori avant que le TP ne siège. Certes, l'appelant n'a pas formellement requis devant le premier juge l'apport de ladite ordonnance, mais celle-ci aurait pu être portée au dossier avant que la cause ne soit tranchée, d'autant que la décision sur mesures superprovisionnelles y avait été versée. Le dire, relativise ainsi la nouveauté du document. Par ailleurs, refuser en appel l'apport au dossier d'une pièce existante, qui aurait pu être considérée avant le premier prononcé pénal vu sa pertinence, serait constitutif de formalisme excessif, s'agissant d'une preuve à décharge. Il s'ensuit qu'il n'y a pas de motif fondé à écarter cette pièce du dossier.</w:t>
      </w:r>
    </w:p>
    <w:p>
      <w:r>
        <w:rPr>
          <w:b/>
        </w:rPr>
        <w:t>E. 3.2</w:t>
      </w:r>
    </w:p>
    <w:p>
      <w:r>
        <w:t>Le TPAE, autorité compétente en matière de protection des mineurs, était légitimé à prendre, dans l'urgence, une décision concrète, dans un cas particulier, à l'égard d'une personne déterminée et qui avait pour objet de régler une situation juridique de manière contraignante, soit le fait d'interdire à l'appelant de s'approcher de son fils dans un périmètre de moins de 200 mètres de son lieu de placement, le temps pour celle-ci de mettre en place les conditions cadre visant à évaluer les compétences parentales à la suite du retrait de garde de C______ et restaurer un droit de visite protégé (cf. art. 314 al. 1 du Code civil [CC] cum art. 445 al. 2 CC, art. 315a al. 3 ch. 2 CC). Sa décision avait été dûment notifiée à l'appelant, qui savait donc qu'il ne devait s'approcher de son fils jusqu'à nouvel ordre, sous peine de commettre un acte d'insoumission puisque ce prononcé comportait la mention de la menace de la peine prévue par l'art. 292 CP. Il n'y avait donc aucun motif pour le juge pénal à revoir la validité d'une telle décision, outre que son pouvoir d'examen est limité au seul arbitraire dans une telle constellation. Toutefois, force est de constater que le TPAE a rendu, après audition des parties, une nouvelle ordonnance sur mesures provisionnelles, celle-ci se substituant au prononcé précédent, lequel n'avait plus cours. Or, dans sa décision du 13 avril 2022, s'agissant de l'exercice de son droit de visite sur C______ par l'appelant tel que précisé sous chiffres 2 et 3 de son dispositif, l'autorité n'a plus assorti ses modalités de la menace de la peine prévue par l'art. 292 CP. Il s'ensuit qu'en s'approchant de C______ les 14 et 21 novembre 2022, ce que l'appelant ne conteste pas, celui-ci a, tout au plus, trahi les modalités du droit de visite mis en place, mais ne s'est pas exposé à la peine prévue pour insoumission suite à ses incartades, ce qui doit conduire à son acquittement.</w:t>
      </w:r>
    </w:p>
    <w:p>
      <w:r>
        <w:rPr>
          <w:b/>
        </w:rPr>
        <w:t>E. 4</w:t>
      </w:r>
    </w:p>
    <w:p>
      <w:r>
        <w:t>L'appel étant admis, il ne sera pas perçu de frais (art. 428 CPP a contrario). Les frais afférents à la procédure préliminaire et de première instance seront laissés à la charge de l'État (art. 428 al. 3 CPP).</w:t>
      </w:r>
    </w:p>
    <w:p>
      <w:r>
        <w:rPr>
          <w:b/>
        </w:rPr>
        <w:t>E. 5</w:t>
      </w:r>
    </w:p>
    <w:p>
      <w:r>
        <w:t>5.1. À teneur de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ATF 143 IV 339 consid. 4.1 et les références ; arrêt du Tribunal fédéral 6B_1105/2014 du 11 février 2016 consid. 2.1 et 2.2). Dans les cas juridiquement simples, l'activité de l'avocat peut se limiter au minimum, à savoir tout au plus à une simple consultation (arrêt du Tribunal fédéral 6B_2/2021 du 25 juin 2021 consid. 1.1.2). Les frais de défense doivent être pleinement indemnisés. Il appartient néanmoins au juge de vérifier concrètement que les frais engagés pour la défense du prévenu s'inscrivent dans le cadre de l'exercice raisonnable de ses droits de procédure. L'indemnité visée par l'art. 429 al. 1 let. a CPP doit correspondre au tarif usuel du barreau applicable dans le canton où la procédure se déroule (FF 2006 1057 p. 1313 ; ATF 142 IV 163 consid. 3.1.2 ; arrêt du Tribunal fédéral 6B_1459/2021 du 24 novembre 2022 consid. 4.1). La Cour applique un tarif horaire maximal de CHF 450.- pour les chefs d'étude ( AARP/96/2024 du 14 mars 2024 consid. 5.1.1).</w:t>
      </w:r>
    </w:p>
    <w:p>
      <w:r>
        <w:rPr>
          <w:b/>
        </w:rPr>
        <w:t>E. 5.2</w:t>
      </w:r>
    </w:p>
    <w:p>
      <w:r>
        <w:t>En l'occurrence, même si l'on est proche d'un cas dit " bagatelle " (cf. ACPR/143/2024 du 23 février 2024 dans une cause opposant précisément l'appelant au MP), les particularités de la présente affaire peuvent encore justifier le recours à un avocat procédant d'un exercice raisonnable de ses droits par l'appelant, notamment en ce qui a trait au mécanisme des mesures provisionnelles. À l'aune du " minimum " mesuré par le Tribunal fédéral et revendiqué par l'appelant comme étant " indispensable à sa défense ", il y lieu de retenir que 10h de travail d'avocat auraient été amplement suffisantes et proportionnées aux difficultés de la cause, soit : pour la procédure préliminaire et de première instance, 1h de conférence client, 3h pour les réquisitions de preuve et la préparation aux débats, 2h pour ceux-ci et, pour la procédure d'appel, 1h pour la prise de connaissance du jugement et une conférence client, enfin 3h pour le mémoire d'appel. En conclusion, la rémunération sera arrêtée à CHF 4'314.40 correspondant à six heures d'activité au tarif de CHF 400.-/heure et l'équivalent de la TVA au taux de 7.70%, respectivement quatre heures d'activité au même tarif et l'équivalent de la TVA au taux de 8.1%. * * * * * PAR CES MOTIFS, L E PRÉSIDENT : Reçoit l'appel formé par A______ contre le jugement JTDP/1668/2023 rendu le 20 décembre 2023 par le Tribunal de police dans la procédure P/25227/2022. L'admet. Annule ce jugement. Et statuant à nouveau : Acquitte A______ d'insoumission à une décision de l'autorité (art. 292 CP). Laisse les frais de la procédure préliminaire et de première instance ainsi que ceux afférents à la procédure d'appel à la charge de l'État (art. 428 CPP). Alloue à A______, en couverture de ses dépenses nécessaires, une indemnité de CHF 4'314.40, TVA incluse, couvrant la procédure préliminaire et de première instance ainsi que la procédure d'appel (art. 429 al. 1 let. a et 436 CPP). Notifie le présent arrêt aux parties. Le communique, pour information, au Tribunal de police ainsi qu'au Tribunal de protection de l'adulte et de l'enfant (9 e chambre). La greffière : Melina CHODYNIECKI Le président : Vincent FOURNIER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