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P/251/2019 vom 29. August 2019</w:t>
      </w:r>
    </w:p>
    <w:p>
      <w:r>
        <w:t>GE Cour de justice, 2019-08-29, FR</w:t>
      </w:r>
    </w:p>
    <w:p>
      <w:r>
        <w:rPr>
          <w:b/>
        </w:rPr>
        <w:t xml:space="preserve">Quelle: </w:t>
      </w:r>
      <w:r>
        <w:t>https://mcp.opencaselaw.ch/entscheid/ge_gerichte_P_251_2019</w:t>
      </w:r>
    </w:p>
    <w:p>
      <w:r>
        <w:t>FR: GE_GERICHTE P/251/2019 du 29 août 2019</w:t>
      </w:r>
    </w:p>
    <w:p>
      <w:r>
        <w:t>IT: GE_GERICHTE P/251/2019 del 29 agosto 2019</w:t>
      </w:r>
    </w:p>
    <w:p>
      <w:pPr>
        <w:pStyle w:val="Heading2"/>
      </w:pPr>
      <w:r>
        <w:t>Regeste</w:t>
      </w:r>
    </w:p>
    <w:p>
      <w:r>
        <w:t>FIXATION DE LA PEINE;CONCOURS D'INFRACTIONS;CASIER JUDICIAIRE;INFRACTIONS CONTRE LE PATRIMOINE;EXPULSION(DROIT PÉNAL) | CP.186 CP; CP.47; CP.49.al1; CP.49.al2; CP.139.al1; CP.144.al1; LEI.115.al1.letA; LEI.115.al1.letB</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vol (art. 139 ch. 1 CP) est passible d'une peine pécuniaire ou d'une peine privative de liberté de cinq ans au plus, tandis que les infractions de violation de domicile (art. 186 CP) et de dommages à la propriété (art. 144 al. 1 CP) sont sanctionnées par une peine pécuniaire ou une peine privative de liberté de trois ans au plus. La violation de l'art. 115 al. 1 let. a et b LEI est quant à elle sanctionnée d'une peine pécuniaire ou d'une peine privative de liberté d'un an au plus.</w:t>
      </w:r>
    </w:p>
    <w:p>
      <w:r>
        <w:rPr>
          <w:b/>
        </w:rPr>
        <w:t>E. 2.2</w:t>
      </w:r>
    </w:p>
    <w:p>
      <w:r>
        <w:t>L'art. 22 al. 1 CP prévoit que le juge peut atténuer la peine si l'exécution d'un crime ou d'un délit n'est pas poursuivie jusqu'à son terme ou que le résultat nécessaire à la consommation de l'infraction ne se produit pas ou ne pouvait pas se produire. Selon la jurisprudence, il y a tentative, lorsque l'auteur a réalisé tous les éléments subjectifs de l'infraction et manifesté sa décision de la commettre, alors que les éléments objectifs font, en tout ou en partie, défaut (ATF 131 IV 100 consid. 7.2.1; 128 IV 18 consid. 3b; 122 IV 246 consid. 3a).</w:t>
      </w:r>
    </w:p>
    <w:p>
      <w:r>
        <w:rPr>
          <w:b/>
        </w:rPr>
        <w:t>E. 2.3</w:t>
      </w:r>
    </w:p>
    <w:p>
      <w:r>
        <w:t>La juridiction d'appel n'est pas liée par les conclusions des parties, sauf lorsqu'elle statue sur une action civile (art. 391 al. 1 let. b CPP). Ce principe est restreint à un double égard : d'une part, la juridiction d'appel n'examine que les points attaqués du jugement de première instance (art. 404 al. 1 CPP), et d'autre part, elle doit observer l'interdiction de la reformatio in pejus inscrite à l'art. 391 al. 2 CPP. Conformément à cette disposition, l'autorité de recours ne peut pas modifier une décision au détriment du prévenu ou du condamné si le recours a été interjeté uniquement en sa faveur (art. 391 al. 2 1ère phrase CPP). Une sanction plus sévère demeure réservée en cas de faits nouveaux qui ne pouvaient pas être connus du tribunal de première instance (art. 391 al. 2 2ème phrase CPP). L'interdiction de la reformatio in pejus ne fait pas partie des droits constitutionnels et ne saurait être déduite de la CEDH (arrêts du Tribunal fédéral 6B_332/2009 du 4 août 2009 consid. 4.2 ; 6B_411/2007 du 2 novembre 2007 consid. 1.3). L'existence d'une reformatio in pejus doit être examinée à l'aune du dispositif (ATF 142 IV 129 consid. 4.5 p. 136 ; ATF 141 IV 132 consid. 2.7.3 p. 140 ; ATF 139 IV 282 consid. 2.6 p. 289 ; arrêt du Tribunal fédéral 6B_1021/2016 du 20 septembre 2017 consid. 2.1.1). Le dispositif du dernier arrêt en cause ne doit pas être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(ATF 142 IV 129 consid. 4.5 p. 136 ; ATF 141 IV 132 consid. 2.7.3 p. 140 ; ATF 139 IV 282 consid. 2.6 ; arrêt du Tribunal fédéral 6B_69/2016 du 29 septembre 2016 consid. 2.2.1).</w:t>
      </w:r>
    </w:p>
    <w:p>
      <w:r>
        <w:rPr>
          <w:b/>
        </w:rPr>
        <w:t>E. 2.4</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Selon la jurisprudence, pour apprécier la situation personnelle, le juge peut prendre en considération le comportement postérieurement à l'acte et au cours de la procédure pénale et notamment l'existence ou l'absence de repentir après l'acte et la volonté de s'amender (ATF 118 IV 21 consid. 2b ; arrêts du Tribunal fédéral 6B_334/2009 du 20 juillet 2009 consid. 2.1 et 6B_992/2008 du 5 mars 2009 consid. 5.2.). La bonne collaboration à l'enquête peut, même lorsqu'elle ne remplit pas les conditions d'un repentir sincère, constituer un élément favorable pour la fixation de la peine dans le cadre ordinaire de l'art. 47 CP. Le repentir sincère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 ATF 107 IV 98 consid. 1). Le repentir sincère n'est réalisé que si l'auteur a adopté un comportement particulier, désintéressé et méritoire. L'auteur doit avoir agi de son propre mouvement (ATF 107 IV 98 consid. 1 p. 99 et les références citées ; arrêt du Tribunal fédéral 6B_890/2015 du 16 décembre 2015 consid. 2.4.2).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 116 IV 288 consid. 2a).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w:t>
      </w:r>
    </w:p>
    <w:p>
      <w:r>
        <w:rPr>
          <w:b/>
        </w:rPr>
        <w:t>E. 2.5</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6B_688/2014 du 22 décembre 2017 consid. 27.2.1; 6B_1175/2017 du 11 avril 2018 consid. 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w:t>
      </w:r>
    </w:p>
    <w:p>
      <w:r>
        <w:rPr>
          <w:b/>
        </w:rPr>
        <w:t>E. 2.6</w:t>
      </w:r>
    </w:p>
    <w:p>
      <w:r>
        <w:t>En l'espèce, le Tribunal de police a reconnu l'appelant coupable de violation de domicile (art. 186 CP), de tentative de violation de domicile (art. 22 al. 1 cum 186 CP), de vol (art. 139 ch. 1 CP), de tentative de vol (art. 22 al. 1 cum 139 CP), de dommages à la propriété (art. 144 al. 1 CP) et d'entrée et séjour illégaux (art. 115 al. 1 let. a et b LEI), infractions dont il admet la commission. L'appelant ne remet en cause ni le type de peine prononcée, ni le refus du sursis - le pronostic ne pouvant qu'être mauvais au vu de ses nombreuses récidives - mais conteste la quotité de sa peine, dont l'adéquation et la proportionnalité, au regard notamment de la rectification du casier judiciaire effectuée par l'OFJ, doit dès lors être examinée par la CPAR. Sa faute ne peut être qualifiée que d'importante. Il a agi à tout le moins à deux reprises en portant atteinte à la sphère privée de ses victimes ainsi qu'à leur patrimoine. Son mobile, qui relève de l'appât du gain, est purement égoïste. Sa situation personnelle, certes précaire, ne justifie pas ses actes, ce d'autant moins qu'elle est la conséquence de sa décision de revenir illégalement en Suisse. Il y a concours d'infractions, facteur aggravant de la peine. Sa collaboration ne peut pas être qualifiée de bonne. Tout au plus a-t-elle été moyenne. Si l'appelant a reconnu les faits qui lui étaient reprochés, il ne l'a fait qu'après avoir été confronté à des preuves irréfutables de sa culpabilité, à savoir aux images de vidéosurveillance prises dans la chambre de l'une des victimes et à la découverte de son ADN sur la porte de l'autre. Ses explications n'ont pas aidé à la résolution de faits qui, à ce défaut, seraient restés obscurs. Certes, l'appelant a regretté ses actes mais cela ne suffit pas à justifier une réduction de sa peine. La prise de conscience de l'appelant n'est pas bonne non plus, dans la mesure où ses multiples récidives démontrent qu'il n'a pas retiré d'enseignement de ses précédentes condamnations. S'il indique vouloir désormais changer de vie, il ne fait pas mention d'un projet concrètement étayé. Après épuration, le casier judiciaire de l'appelant fait encore mention de neuf antécédents. Bien que leur nombre ait été drastiquement réduit, il n'en demeure pas moins qu'il s'agit d'une quantité importante de condamnations, de surcroît spécifiques et qui s'étendent sur une longue période, de 2009 à 2017. Ainsi, le casier judiciaire de l'appelant, même expurgé, démontre qu'il s'est inscrit durablement dans la délinquance, au mépris de toutes ses précédentes condamnations. Au regard de ce qui précède la peine pourrait être diminuée, bien que dans une faible mesure, mais elle devrait également être fixée individuellement puisqu'elle ne peut plus être prononcée de manière complémentaire à celles des 18 janvier et 27 mars 2019, lesquelles ont été retirées du casier judiciaire de l'appelant. Au regard des infractions commises et de leur peine menace, la peine prononcée par le premier juge est clémente. En application toutefois du principe de l'interdiction de la reformatio in pejus , la peine privative de liberté de 8 mois, sous déduction des jours de détention avant jugement, sera confirmée, la renonciation à la révocation de la libération conditionnelle octroyée le 7 octobre 2017 étant par ailleurs acquise à l'appelant.</w:t>
      </w:r>
    </w:p>
    <w:p>
      <w:r>
        <w:rPr>
          <w:b/>
        </w:rPr>
        <w:t>E. 3.1</w:t>
      </w:r>
    </w:p>
    <w:p>
      <w:r>
        <w:t>Les dispositions sur l'expulsion ne s'appliquent qu'aux infractions commises à partir du 1 er octobre 2016. Les antécédents judiciaires antérieurs au 1 er octobre 2016 sont pris en considération, y compris les antécédents de droit pénal des mineurs ( AARP/185/2017 du 2 juin 2017 consid. 2.1 ; AARP/119/2017 du 20 mars 2017 consid. 4.1 ; AARP/179/2017 du 30 mai 2017 consid. 3.1.2).</w:t>
      </w:r>
    </w:p>
    <w:p>
      <w:r>
        <w:rPr>
          <w:b/>
        </w:rPr>
        <w:t>E. 3.2</w:t>
      </w:r>
    </w:p>
    <w:p>
      <w:r>
        <w:t>Conformément à l'art. 66a al. 1 CP, le juge expulse un étranger du territoire suisse pour une durée de cinq à quinze ans s'il est reconnu coupable de l'une des infractions énumérées aux let. a à o. Selon l'al. 2 de cette disposition, il peut néanmoins être renoncé à l'expulsion, exceptionnellement, lorsque celle-ci mettrait l'étranger dans une situation personnelle grave et que les intérêts publics à l'expulsion ne l'emportent pas sur son intérêt à demeurer en Suisse, la situation de celui qui est né et a grandi en Suisse méritant une prise en compte particulière ( AARP/119/2017 du 20 mars 2017 consid. 4.1). Ainsi, l'art. 66a CP prévoit l'expulsion " obligatoire "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 ; A. BONARD, Expulsion pénale : la mise en oeuvre de l'initiative sur le renvoi, questions choisies et premières jurisprudences , in Forumpoenale 5/2017 p. 315 ; G. FIOLKA / L. VETTERLI, Die Landesverweisung in Art. 66a ff StGB als strafrechtliche Sanktion , in Plädoyer 5/2016 p. 84).</w:t>
      </w:r>
    </w:p>
    <w:p>
      <w:r>
        <w:rPr>
          <w:b/>
        </w:rPr>
        <w:t>E. 3.3</w:t>
      </w:r>
    </w:p>
    <w:p>
      <w:r>
        <w:t>L'art. 66a al. 2 CP définit une " Kannvorschrift ", en ce sens que le juge n'a pas l'obligation de renoncer à l'expulsion, mais peut le faire si les conditions fixées par cette disposition sont remplies. Ces conditions sont cumulatives (arrêts du Tribunal fédéral 6B_706/2018 du 7 août 2018 consid. 2.1 ; 6B_296/2018 du 13 juillet 2018 consid. 3.2 ; 6B_506/2017 du 14 février 2018 consid. 1.1 et les références = SJ 2018 I 397 ). Afin de pouvoir renoncer à une expulsion prévue par l'art. 66a al. 1 CP, il faut donc que cette mesure mette l'étranger dans une " situation personnelle grave " et que l'intérêt public soit de peu d'importance, c'est-à-dire que l'intérêt public à l'expulsion ne l'emporte pas sur l'intérêt privé de l'étranger à demeurer en Suisse (arrêts du Tribunal fédéral 6B_612/2018 du 22 août 2018 consid. 2.1 ; 6B_296/2018 du 13 juillet 2018 consid. 3.2 ; 6B_1299/2017 du 10 avril 2018 consid. 2.1 ; M. BUSSLINGER / P. UEBERSAX,. Härtefallklausel und Migrationsrecht der Landesverweisung , in Plädoyer 5/2016 p. 96 ss ; A. BERGER, Umsetzungs-gesetzgebung zur Ausschaffungsinitiative , in Jusletter 7 août 2017 n. 6.1 p. 20).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(arrêts du Tribunal fédéral 6B_1027/2018 du 7 novembre 2018 consid. 1.3 ; 6B_724/2018 du 30 octobre 2018 consid. 2.3.2 et les références).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6B_1027/2018 du 7 novembre 2018 consid. 1.4 ; 6B_724/2018 du 30 octobre 2018 consid. 2.3.2 ; 6B_371/2018 du 21 août 2018 consid. 2.5).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p. 101 ; G. FIOLKA / L. VETTERLI, op. cit., p. 87 ; AARP/185/2017 du 2 juin 2017 consid. 2.2).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144 IV 332 , consid. 3.3.2).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partie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Pour pouvoir invoquer l'art. 8 CEDH,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w:t>
      </w:r>
    </w:p>
    <w:p>
      <w:r>
        <w:rPr>
          <w:b/>
        </w:rPr>
        <w:t>E. 3.4</w:t>
      </w:r>
    </w:p>
    <w:p>
      <w:r>
        <w:t>En l'occurrence, l'appelant a notamment été reconnu coupable de vol (art. 139 CP) et de violation de domicile (art. 186 CP), qui constituent des cas d'expulsion obligatoire au sens de l'art. 66a al. 1 let. d CP, même au stade de la tentative (ATF 144 IV 168 consid. 1.4.1. p. 171). Au vu de ses antécédents, même expurgés, il est durablement inscrit dans la délinquance, puisqu'il a été condamné à neuf reprises ces dix dernières années, de surcroît pour des infractions non dénuées de gravité telles que séjour illégal, vol et dommages à la propriété. Son comportement témoigne de son incapacité à respecter l'ordre juridique suisse et les sanctions prononcées contre lui ne parviennent pas à le détourner de la commission de nouvelles infractions. Ainsi, on ne peut sous-estimer la gravité des infractions faisant l'objet du jugement entrepris. Il est en particulier à craindre que le recourant menace à nouveau l'ordre et la sécurité publics. La durée de son séjour en Suisse est certes longue, mais sa portée doit être relativisée puisqu'elle n'a jamais été autorisée. Il a vécu durant plus d'une vingtaine d'années dans l'illégalité, multipliant les infractions et les condamnations. Son long séjour en Suisse, qui est la conséquence d'un comportement illicite, et non d'une tolérance particulière des autorités, ne peut pas être retenu en sa faveur dans l'appréciation des conditions du prononcé d'une expulsion, ce d'autant plus qu'il a été passé dans une assez large mesure en détention. Il ne s'est par ailleurs jamais intégré en Suisse et, du fait de son statut administratif, n'a jamais eu d'activité professionnelle déclarée. Il est sans domicile, dormant chez des connaissances ou [au Centre U______]. Ses deux fils, de nationalité suisse, résident à Genève. Toutefois, l'appelant ne saurait se prévaloir de l'existence d'une relation étroite et effective avec eux pour contester son expulsion. Il ne vit pas avec ses enfants, dont l'un est majeur, et n'entretient pas de contact régulier avec eux. Selon ses propres dires, il n'a jamais fait en sorte de pouvoir leur téléphoner ou les voir durant ses séjours en prison, lesquels ont constitué une grande partie de son temps passé en Suisse entre 2009 et 2019. Il n'est pas étayé qu'il en ait été autrement lorsqu'il était en liberté. Tout au plus a-t-il été en contact de manière ponctuelle avec ses fils, sans que cela ne puisse néanmoins être assimilé à une vie de famille. L'appelant n'a pas non contribué financièrement à leur entretien. De tels liens, pouvant être qualifié de ténus, ne seraient pas menacés par son expulsion et pourraient être maintenus. Il est encore relevé à cet égard que lorsqu'il se trouvait en Algérie après sa dernière expulsion de Suisse en 2017, son fils K______ l'a rejoint pour les vacances. Vu l'absence de problèmes particuliers de santé chez l'un ou l'autre de ses fils, ces voyages pourraient être réitérés. Par ailleurs, l'intérêt public à l'expulsion de l'appelant est manifeste au regard, d'une part, de ses nombreux antécédents spécifiques et du risque de récidive et, d'autre part, de la gravité des infractions présentement sanctionnées. Il est encore relevé pour le surplus que l'appelant fait déjà l'objet d'une interdiction d'entrée en Suisse en vigueur jusqu'en 2027, à laquelle il doit en tout état de cause se conformer. Au vu de ce qui précède, l'expulsion prononcée par le Tribunal de police, dont la durée correspond au minimum légal, doit être confirmée.</w:t>
      </w:r>
    </w:p>
    <w:p>
      <w:r>
        <w:rPr>
          <w:b/>
        </w:rPr>
        <w:t>E. 4</w:t>
      </w:r>
    </w:p>
    <w:p>
      <w:r>
        <w:t>Les motifs ayant conduit le premier juge à prononcer, par ordonnance séparée du 29 mai 2019, le maintien de l'appelant en détention pour des motifs de sûreté sont toujours d'actualité, ce que celui-ci ne conteste au demeurant pas, de sorte que la mesure sera reconduite mutatis mutandis (ATF 139 IV 277 consid. 2.2 à 2.3).</w:t>
      </w:r>
    </w:p>
    <w:p>
      <w:r>
        <w:rPr>
          <w:b/>
        </w:rPr>
        <w:t>E. 5</w:t>
      </w:r>
    </w:p>
    <w:p>
      <w:r>
        <w:t>L'appelant, qui succombe, supportera les frais de la procédure envers l'État (art. 428 CPP).</w:t>
      </w:r>
    </w:p>
    <w:p>
      <w:r>
        <w:rPr>
          <w:b/>
        </w:rPr>
        <w:t>E. 6</w:t>
      </w:r>
    </w:p>
    <w:p>
      <w:r>
        <w:t>6.1.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Le temps consacré à la procédure ne doit être pris en considération que dans la mesure où il apparaît raisonnablement nécessaire à l'accomplissement du mandat par un avocat expérimenté. On exige de la part de l'avocat qu'il soit expéditif et efficace dans son travail et qu'il concentre son attention sur les points essentiels. Des démarches superflues ou excessives n'ont pas à être indemnisées (ordonnance de la Cour des plaintes du Tribunal pénal fédéral BB.2013.176 du 25 avril 2014, consid. 6 ; ACPR/458/2015 du 27 août 2015 consid. 3.1.1.). De jurisprudence constante à Genève, il n'appartient pas à l'assistance judiciaire d'indemniser le maître de stage pour la formation qu'il a l'obligation de fournir à son stagiaire ( AARP/331/2015 du 27 juillet 2015 ; AARP/325/2015 du 20 juillet 2015 et AARP/300/2015 du 16 juillet 2015 ; ACPR/167/2017 du 15 mars 2017 consid. 4.3).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Les documents ne nécessitant pas ou peu de motivation ou autre investissement particulier en terme de travail juridique, telle la déclaration d'appel, sont en principe inclus dans le forfait (ordonnance de la Cour des plaintes du Tribunal pénal fédéral BB.2014.51 du 21 novembre 2014 consid. 2.1 ; décisions de la Cour des plaintes du Tribunal pénal fédéral BB.2013.165 du 24 janvier 2014 consid. 4.1.3 ; BB.2013.127 du 4 décembre 2013 consid. 4.2).</w:t>
      </w:r>
    </w:p>
    <w:p>
      <w:r>
        <w:rPr>
          <w:b/>
        </w:rPr>
        <w:t>E. 6.2</w:t>
      </w:r>
    </w:p>
    <w:p>
      <w:r>
        <w:t>En l'occurrence, M e H______ produit un état de frais comptabilisant pour la seule procédure d'appel 10 heures d'activité de chef d'étude et 12 heures d'activité d'avocat stagiaire, soit 22 heures au total. L'état de frais ainsi déposé apparaît excessif au regard de la nature et de la complexité de la cause. Le temps consacré à la rédaction de l'annonce d'appel, à la rédaction de la déclaration d'appel, ainsi que celui employé à la confection de bordereaux de pièces et à la prise de connaissance du jugement entrepris ne seront pas considérés séparément, étant couvert par le forfait. L'activité déployée par l'avocate stagiaire sera également diminuée à 240 minutes pour l'examen du dossier et 120 minutes pour la préparation de l'audience, le temps consacré pour ce poste par le chef d'étude devant être quant à lui supprimé. Cette activité n'était pas nécessaire, dans la mesure où M e H______ n'a pas pris part à l'audience par-devant la Cour. Il est relevé également que, s'il devait s'agir de cela, la formation de l'avocate-stagiaire l'ayant excusée n'a pas à être indemnisée. Par ailleurs, le temps consacré à l'audience sera indemnisé à hauteur de 65 minutes et non de 180 minutes.</w:t>
      </w:r>
    </w:p>
    <w:p>
      <w:r>
        <w:rPr>
          <w:b/>
        </w:rPr>
        <w:t>E. 6.3</w:t>
      </w:r>
    </w:p>
    <w:p>
      <w:r>
        <w:t>En conclusion, l'indemnité sera arrêtée à CHF 1'650.60 correspondant à 2 heures et 15 minutes d'activité au tarif de CHF 200.-/heure et à 7 heures et 5 minutes d'activité au tarif de CHF 110.-/heure, plus les débours en CHF 62.-, la majoration forfaitaire de 20% et l'équivalent de la TVA au taux de 7.7% en CHF 113.60.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