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P/25167/2019 vom 31. Oktober 2024</w:t>
      </w:r>
    </w:p>
    <w:p>
      <w:r>
        <w:t>GE Cour de justice, 2024-10-31, FR</w:t>
      </w:r>
    </w:p>
    <w:p>
      <w:r>
        <w:rPr>
          <w:b/>
        </w:rPr>
        <w:t xml:space="preserve">Quelle: </w:t>
      </w:r>
      <w:r>
        <w:t>https://mcp.opencaselaw.ch/entscheid/ge_gerichte_P_25167_2019</w:t>
      </w:r>
    </w:p>
    <w:p>
      <w:r>
        <w:t>FR: GE_GERICHTE P/25167/2019 du 31 octobre 2024</w:t>
      </w:r>
    </w:p>
    <w:p>
      <w:r>
        <w:t>IT: GE_GERICHTE P/25167/2019 del 31 ottobre 2024</w:t>
      </w:r>
    </w:p>
    <w:p>
      <w:pPr>
        <w:pStyle w:val="Heading2"/>
      </w:pPr>
      <w:r>
        <w:t>Regeste</w:t>
      </w:r>
    </w:p>
    <w:p>
      <w:r>
        <w:t>ORDONNANCE PÉNALE;OPPOSITION(PROCÉDURE);RESTITUTION DU DÉLAI;FICTION DE LA NOTIFICATION | CPP.356.al2; CPP.85</w:t>
      </w:r>
    </w:p>
    <w:p>
      <w:pPr>
        <w:pStyle w:val="Heading2"/>
      </w:pPr>
      <w:r>
        <w:t>Erwägungen</w:t>
      </w:r>
    </w:p>
    <w:p>
      <w:r>
        <w:rPr>
          <w:b/>
        </w:rPr>
        <w:t>E. 1.1</w:t>
      </w:r>
    </w:p>
    <w:p>
      <w:r>
        <w:t>En tant qu'il a trait à l'ordonnance rendue le 31 octobre 2024 par le Tribunal de police, 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En revanche, les conclusions ultérieures, déposées après le délai de recours et tendant à l'indemnisation de divers préjudices allégués (détention injustifiée, tort moral, remboursement de frais) sont irrecevables, dans la mesure où elles sont tardives et excèdent l'objet du litige, limité, à teneur de l'ordonnance querellée, à la question de la recevabilité de l'opposition formée par le recourant à l'ordonnance pénale du 18 novembre 2021.</w:t>
      </w:r>
    </w:p>
    <w:p>
      <w:r>
        <w:rPr>
          <w:b/>
        </w:rPr>
        <w:t>E. 1.3</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2</w:t>
      </w:r>
    </w:p>
    <w:p>
      <w:r>
        <w:t>Le recourant reproche au Tribunal de police d'avoir retenu à tort que son opposition n'était pas valable.</w:t>
      </w:r>
    </w:p>
    <w:p>
      <w:r>
        <w:rPr>
          <w:b/>
        </w:rPr>
        <w:t>E. 2.1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 En application de l'art. 356 al. 2 CPP, le tribunal de première instance statue sur la validité de l'ordonnance pénale et de l'opposition. Si l'opposition a été formée tardivement, le tribunal la déclare irrecevable. 2.2.1. Selon l'art. 85 CPP, les autorités pénales notifient leurs prononcés par lettre signature ou par tout autre mode de communication impliquant un accusé de réception (al. 2) ; le prononcé est réputé notifié lorsque, expédié par lettre signature, il n'a pas été retiré dans les sept jours à compter de la tentative infructueuse de remise du pli, si la personne concernée devait s'attendre à une telle remise (al. 4 let. a). 2.2.2.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 ibidem ).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Il est donc tenu de relever son courrier ou, s'il s'absente de son domicile, de prendre des dispositions pour que celui-ci lui parvienne néanmoins.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arrêt du Tribunal fédéral 6B_448/2024 précité consid. 3.2.2).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 ACPR/470/2013 du 10 octobre 2013; ACPR/202/2016 du 12 avril 2016). La Chambre de céans a admis qu'un prévenu, précédemment entendu en cette qualité, devait s'attendre à recevoir des communications de la part des autorités pénales, y compris un prononcé, à tout le moins pendant les six mois suivants ( ACPR/269/2016 du 9 mai 2016 consid. 2.2.).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ACPR/78/2014 du 3 février 2014).</w:t>
      </w:r>
    </w:p>
    <w:p>
      <w:r>
        <w:rPr>
          <w:b/>
        </w:rPr>
        <w:t>E. 2.3</w:t>
      </w:r>
    </w:p>
    <w:p>
      <w:r>
        <w:t>Les délais fixés en jours commencent à courir le jour qui suit leur notification ou l'évènement qui les déclenche (art. 90 al. 1 CPP). Les écrits doivent être remis au plus tard le dernier jour du délai à l'autorité pénale ou à la Poste suisse (art. 91 al. 2 CPP).</w:t>
      </w:r>
    </w:p>
    <w:p>
      <w:r>
        <w:rPr>
          <w:b/>
        </w:rPr>
        <w:t>E. 2.4</w:t>
      </w:r>
    </w:p>
    <w:p>
      <w:r>
        <w:t>En l'espèce, l'ordonnance pénale du 18 novembre 2021 a été envoyée au recourant, par pli recommandé, le 24 novembre 2021, à son domicile connu, soit rue 1______ no. ______, à Genève. Si le recourant avait déménagé, voire s'était établi à l'étranger, il n'en avait pas informé les autorités, puisque le registre de l'Office cantonal de la population (Calvin) ne mentionne un départ que le 27 avril 2022. L'adresse de notification était donc valable. Est donc seule pertinente ici la question de savoir si le recourant pouvait, en novembre 2021, s'attendre à la notification d'un acte judiciaire, au sens de l'art. 85 al. 4 CPP. En l'occurrence, le recourant a été entendu par la police le 31 mars 2020 en qualité de prévenu et l'ordonnance pénale a été rendue par le Ministère public le 18 novembre 2021, soit près de vingt mois après son seul contact avec les autorités de poursuite pénale. Ce laps de temps doit être qualifié de longue période de passivité par le Ministère public, conformément à la jurisprudence de la Chambre de céans. Cet élément, ajouté à la circonstance que le recourant contestait les faits et que son unique audition s'était déroulée dans le cadre d'une intervention de la police à la suite d'une dispute conjugale, pouvait l'autoriser à penser que cette affaire – pour autant qu'il en eût connaissance – n'avait pas connu de suite. Il ne pouvait dès lors s'attendre à la remise d'un tel acte. Il s'ensuit que la notification fictive de l'art. 85 al. 4 CPP ne pouvait pas, ici, trouver application, bien que le recourant n'ait pas effectué les démarches attendues de lui à la suite de son départ allégué de Suisse en 2020.</w:t>
      </w:r>
    </w:p>
    <w:p>
      <w:r>
        <w:rPr>
          <w:b/>
        </w:rPr>
        <w:t>E. 2.5</w:t>
      </w:r>
    </w:p>
    <w:p>
      <w:r>
        <w:t>Reste à examiner la portée du second envoi, par le Ministère public, de l'ordonnance pénale, en décembre 2021. En l'occurrence, dans le cadre de la procédure pénale, le recourant n'a ni élu domicile auprès d'un tiers ni mandaté de représentant. La seule mention d'un " mandataire " dans le registre de l'Office cantonal de la population (Calvin) n'est pas pertinente à cet égard, ce d'autant qu'une fiduciaire n'est pas habilitée à représenter judiciairement un prévenu, ce qui vaut dès la procédure préliminaire (cf. art. 127 al. 5 et 129 al. 1 CPP). Dès lors, l'ordonnance pénale du 18 novembre 2021 n'a pas été valablement notifiée le 1 er décembre 2021. On ne peut pas non plus retenir que le prévenu en avait pris connaissance à cette date, aucun élément au dossier ne le laissant supposer.</w:t>
      </w:r>
    </w:p>
    <w:p>
      <w:r>
        <w:rPr>
          <w:b/>
        </w:rPr>
        <w:t>E. 2.6</w:t>
      </w:r>
    </w:p>
    <w:p>
      <w:r>
        <w:t>Il s'ensuit que l'ordonnance pénale du 18 novembre 2021 n'est pas réputée avoir été fictivement notifiée à son destinataire, au sens de l'art. 85 al. 4 CPP, les conditions de cette disposition n'étant pas remplies. Dans la mesure où le recourant allègue en avoir pris connaissance lors de la lecture de l'ordonnance pénale du 31 août 2024 rendue dans une autre procédure, et que son opposition a été formée le 9 septembre 2024, soit moins de dix jours plus tard, son opposition est recevable.</w:t>
      </w:r>
    </w:p>
    <w:p>
      <w:r>
        <w:rPr>
          <w:b/>
        </w:rPr>
        <w:t>E. 3</w:t>
      </w:r>
    </w:p>
    <w:p>
      <w:r>
        <w:t>Au vu de ce qui précède, le recours contre l'ordonnance rendue le 31 octobre 2024 par le Tribunal de police est admis. Celle-ci sera dès lors annulée. Dans un souci d'économie de procédure, la cause sera renvoyée directement au Ministère public (art. 397 al. 2 CPP) pour qu'il décide de la suite qu'il entend donner à l'opposition, conformément à l'art. 355 al.1 ou al. 3 CPP.</w:t>
      </w:r>
    </w:p>
    <w:p>
      <w:r>
        <w:rPr>
          <w:b/>
        </w:rPr>
        <w:t>E. 4</w:t>
      </w:r>
    </w:p>
    <w:p>
      <w:r>
        <w:t>L'admission du recours ne donne pas lieu à la perception de frais (art. 428 al. 1 CPP).</w:t>
      </w:r>
    </w:p>
    <w:p>
      <w:r>
        <w:rPr>
          <w:b/>
        </w:rPr>
        <w:t>E. 5</w:t>
      </w:r>
    </w:p>
    <w:p>
      <w:r>
        <w:t>Le recourant a requis le bénéfice d'une défense d'office et demandé que M e F______ soit nommé d'office dans le cadre du présent recours. Il a toutefois agi seul, ce qui rend sa demande sans objet. Quand bien même ce conseil aurait déployé une quelconque activité pour le recours, dite demande serait rejetée. En effet, selon l'art. 132 al. 1 let. b CPP, la direction de la procédure ordonne une défense d'office si le prévenu ne dispose pas des moyens nécessaires et que l'assistance d'un défenseur est justifiée pour sauvegarder ses intérêts. En l'occurrence, la présente procédure de recours ne comporte aucune difficulté particulière, tant sur les plans matériel que procédural nécessitant l'intervention d'un conseil. Du reste, le recourant a fait valoir avec succès les arguments pertinents, sans l'assistance d'un avocat. Par conséquent, sa demande d'un défenseur d'office sera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