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P/25163/2022 vom 2. Oktober 2023</w:t>
      </w:r>
    </w:p>
    <w:p>
      <w:r>
        <w:t>GE Cour de justice, 2023-10-02, FR</w:t>
      </w:r>
    </w:p>
    <w:p>
      <w:r>
        <w:rPr>
          <w:b/>
        </w:rPr>
        <w:t xml:space="preserve">Quelle: </w:t>
      </w:r>
      <w:r>
        <w:t>https://mcp.opencaselaw.ch/entscheid/ge_gerichte_P_25163_2022</w:t>
      </w:r>
    </w:p>
    <w:p>
      <w:r>
        <w:t>FR: GE_GERICHTE P/25163/2022 du 2 octobre 2023</w:t>
      </w:r>
    </w:p>
    <w:p>
      <w:r>
        <w:t>IT: GE_GERICHTE P/25163/2022 del 2 ottobre 2023</w:t>
      </w:r>
    </w:p>
    <w:p>
      <w:pPr>
        <w:pStyle w:val="Heading2"/>
      </w:pPr>
      <w:r>
        <w:t>Erwägungen</w:t>
      </w:r>
    </w:p>
    <w:p>
      <w:r>
        <w:rPr>
          <w:b/>
        </w:rPr>
        <w:t>E. 1.1</w:t>
      </w:r>
    </w:p>
    <w:p>
      <w:r>
        <w:t>Sous réserve de ce qui suit (cf. infra 1.2.), l'appel est recevable pour avoir été interjeté et motivé selon la forme et dans les délais prescrits (art. 398 et 399 CPP). La Chambre limite son examen aux violations décrites dans l'acte d'appel (art. 404 al. 1 CPP), sauf en cas de décisions illégales ou inéquitables (al. 2). 1.2.1. Le prévenu n'a pas la qualité pour recourir en vue de faire augmenter l'indemnité du défenseur d'office, faute d'intérêt juridique (arrêt du Tribunal fédéral 6B_7/2018 consid. 7.3). Le défenseur d'office peut recourir devant l'autorité de recours contre la décision du tribunal de première instance fixant l'indemnité (art. 135 al. 3 let a CPP). Lorsque l'indemnité du conseil d'office pour la première instance est fixée dans le jugement et que celui-ci fait l'objet d'un appel, la question de l'indemnité doit être traitée dans cette procédure de seconde instance, le recours du conseil d'office devenant, en raison de la subsidiarité de cette voie de droit, sans objet une fois rendu le jugement sur appel (ATF 140 IV 213 consid. 1.4 et 139 IV 199 consid. 5.6). Cette jurisprudence vise à préciser l'autorité compétente pour traiter d'un appel et d'un recours interjetés de manière recevable à l'encontre du même jugement. Elle n'a pas vocation, et ne le pourrait par ailleurs pas, à rendre lettre morte l'art. 135 al. 3 let. a CPP, qui ne prévoit explicitement pour le conseil d'office insatisfait de son indemnité que la voie du recours au sens strict (art. 393 à 397 CPP ; arrêt du Tribunal fédéral 6B_451/2016 du 8 février 2017 consid. 2.3 = SJ 2017 I 340). 1.2.2. On peine à comprendre en l'espèce qui, de l'appelant ou son défenseur d'office, conteste formellement la rémunération allouée à ce dernier par le premier juge. Dans la déclaration d'appel, cela semble être l'avocat, puisqu'une distinction est faite entre les conclusions prises pour le compte du prévenu et celle relative à cette question. En revanche, les conclusions prises au terme du mémoire d'appel le sont toutes pour le compte de l'appelant. Quoi qu'il en soit, dans les deux hypothèses, la contestation doit être écartée, pour cause d'irrecevabilité. Comme rappelé ci-dessus, l'appelant n'aurait pas d'intérêt juridique à une meilleure rémunération de son défenseur. Pour sa part, celui-ci aurait dû agir par la voie du recours. Voudrait-on retenir que la déclaration d'appel du prévenu vaut, sur ce point, recours de l'avocat, il faudrait en constater la tardiveté, dès lors qu'à la date de son dépôt, le 10 juillet 2023, le délai légal de dix jours de l'art. 396 al. 1 CPP, qui courait depuis le 22 juin précédent, était échu.</w:t>
      </w:r>
    </w:p>
    <w:p>
      <w:r>
        <w:rPr>
          <w:b/>
        </w:rPr>
        <w:t>E. 2</w:t>
      </w:r>
    </w:p>
    <w:p>
      <w:r>
        <w:t>2.1.1. 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Rien ne s'oppose à ce que le juge ne retienne qu'une partie des déclarations d'un témoin globalement crédible (ATF 120 Ia 31 consid. 3 ; arrêt du Tribunal fédéral 6B_637/2012 du 21 janvier 2013 consid. 5.4).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2.2</w:t>
      </w:r>
    </w:p>
    <w:p>
      <w:r>
        <w:t>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(art. 285 ch. 1 al. 1 CP). 2.3.1. Est puni d’une peine privative de liberté de trois ans au plus ou d’une peine pécuniaire quiconque, sans droit, aliène ou prescrit des stupéfiants, en procure de toute autre manière à un tiers ou en met dans le commerce (let. c) ou celui qui, sans droit, possède, détient ou acquiert des stupéfiants ou s’en procure de toute autre manière (let. d) (art. 19 al. 1 LStup). 2.3.2. La simple possession de drogue, même lorsque l'auteur allègue qu'il s'agit de sa consommation personnelle, peut être appréhendée sous l'angle de l'art. 19 al. 1 let. c LStup si, au vu des circonstances, notamment le lieu de l'arrestation et les explications fluctuantes, le contraire ne peut être retenu (S. GRODECKI / Y. JEANNERET, Petit commentaire LStup : dispositions pénales, Bâle 2022, n. 25 ad art. 19 ; arrêt du Tribunal fédéral 6B_1130/2020 consid. 1.3 et 1.4). 2.3.3. Celui qui se borne à préparer des stupéfiants en quantités minimes, pour sa propre consommation ou pour permettre à des tiers de plus de 18 ans d’en consommer simultanément en commun après leur en avoir fourni gratuitement, n’est pas punissable (art. 19b al. 1 LStup). Dix grammes de stupéfiants ayant des effets de type cannabique sont considérés comme une quantité minime (al. 2). 2.4.1. Quoi qu'en dise l'appelant, il est établi que deux gendarmes sont intervenus le 27 novembre 2022 sur la rue de la Coulouvrenière et qu'à leur vue, celui-ci a pris le fuite en courant malgré les sommations d'usage. 2.4.2. L'appelant n'a cessé de varier, ce qui sera retenu à charge. Il a commencé par expliquer avoir couru, car il avait eu peur des policiers qui criaient, ce qui achève de convaincre de ce qu'ils avaient enjoint les fugitifs de s'arrêter, avant de prétendre qu'il n'avait pas tout de suite réalisé qu'il était suivi par un policier ou même ne jamais avoir couru, ni même aperçu de gendarmes. Il a finalement concédé, devant le TP, une " collision " avec le témoin précisant qu'il n'avait jamais frappé un policier " auparavant ". 2.4.3. À l'inverse, le rapport d'arrestation est précis et correspond aux déclarations du témoin qui s'est montré constant et modéré. Il n'y a, au demeurant, pas de raison de douter des dires d'un agent assermenté lequel n'a aucun intérêt à la procédure. Il n'est pas décisif que le policier eût confondu la jambe à laquelle il avait été touché dans la mesure où la blessure, qui datait de plusieurs mois, n'avait pas nécessité de soin. 2.4.4. Contrairement à l'avis de la défense, on ne saurait inférer du demi-tour de l'appelant que celui-ci cherchât à se rendre puisqu'il appert qu'il fut bloqué, non pas par la barrière, mais à la hauteur de celle-ci et cela par le second gendarme. De surcroît, le motif de changement de direction n'est, quel qu'il fut, pas pertinent puisque l'auteur admet avoir tenté d'esquiver le témoin (MP) ou être entré à son contact (TP), ce qui exclut toute volonté de s'arrêter. 2.4.5. Les faits visés sous chiffre 1.4. de l'acte d'accusation sont donc établis et constitutifs de violence ou menace contre les autorités et les fonctionnaires (art. 285 CP). L'appel sera rejeté sur ce point. 2.5.1. Il est établi que le soir du 15 décembre 2022, un consommateur s'est procuré deux grammes de cannabis contre CHF 30.-, payés avec un billet de CHF 50.-, à un inconnu " de type africain ". L'appelant conteste être le vendeur. 2.5.2. Le rapport de police, peu descriptif, ne saurait à lui seul justifier la condamnation de l'appelant. Il est toutefois corroboré par plusieurs éléments du dossier, notamment, ce qui est, du reste, décisif, par les déclarations du témoin, agent assermenté, ayant assisté à la transaction, puis formellement identifié l'appelant comme le vendeur, sans aucune hésitation. Il est sans importance qu'il n'ait pas personnellement arrêté le prévenu. En tant que professionnel, de surcroît habitué à ce type d'opération, il a su transmettre les informations pertinentes à ses collègues pour qu'ils arrêtent l'homme qu'il avait surveillé, si bien qu'une erreur sur la personne apparaît théorique. 2.5.3. Certes, l'acheteur n'a pas été en mesure de reconnaître le prévenu lors de la confrontation, mais, à l'inverse du témoin, le client n'est pas formé à l'identification et ne s'est pas concentré sur le visage du vendeur lors de l'échange furtif. Cela étant, il a tout de même désigné le prévenu sur photographie quelques minutes après la transaction, de sorte qu'il paraît difficile qu'il se soit trompé à ce moment-là. S'il évoque des pressions après coup, au demeurant non établies, il concède que personne ne l'a obligé à faire le signalement, ce qui suggère qu'il l'a fait librement. Son impression d'avoir été incité peut tout autant avoir résulté de son malaise d'avoir été lui-même pris sur le fait accompli quelques minutes auparavant. 2.5.4. L'appelant a nié de manière constante cette transaction, mais n'a cessé de varier quant à sa participation au trafic de stupéfiants. À titre d'exemple, il n'a pas hésité à soutenir devant le TP qu'il n'avait jamais vendu de drogue à quiconque, juste avant d'admettre les faits visés sous chiffre 1.2.b. de l'a.a. Dès lors, ses dénégations, lesquelles sont globalement contradictoires, ne paraissent pas crédibles. De plus, il détenait, lors de son arrestation, un billet de CHF 50.-, soit la même coupure que l'acheteur avait remise à son fournisseur, et n'est pas parvenu à démontrer que l'argent provenait d'un emploi en France, ce qui est peu plausible vu la devise. 2.5.5. Les faits visés sous chiffre 1.2.a. de l'acte d'accusation sont établis et constitutifs de l'infraction à l'art. 19 al. 1 let. c et d LStup. L'appel sera rejeté sur ce point. 2.6.1. L'appelant ne conteste pas, à juste titre, qu'il était en possession de 2.3 grammes de cannabis lors son arrestation du 23 mars 2023. Il nie toutefois avoir eu l'intention de vendre cette drogue arguant principalement qu'elle devait être donnée à un tiers pour la fabrication de produits capillaires. 2.6.2. La remise à un tiers, y compris à titre gratuit (hors de l'hypothèse non réalisée de la consommation en commun de l'art. 19a al. 1 LStup) suffit à réaliser l'infraction à l'art. 19 al. 1 LStup, de sorte que la condamnation paraît déjà justifiée à ce titre. 2.6.3. De surcroît, les explications de l'appelant quant à la finalité de la drogue n'apparaissent pas crédibles. Il a été interpellé ce soir-là, car il se livrait à du trafic de stupéfiants dans un lieu notoirement connu pour cela et n'a pas su apporter des explications constantes. Il a commencé par dire que la marchandise était destinée à un ami barbier, puis à ses cheveux, avant de préciser qu'il utiliserait en réalité le produit préparé par le premier. Quoi qu'il en soit, si le but avait réellement été de fabriquer un produit de beauté, il se serait procuré un dérivé légal, de l'huile de chanvre par exemple, et n'aurait pas risqué une double condamnation à ce motif. 2.6.4. La défense plaide encore, en vain, que le cannabis pouvait être destiné à la consommation personnelle de l'appelant. Or, force est de constater que cette thèse ne correspond pas aux déclarations du prévenu lequel soutient a minima depuis janvier 2023 avoir cessé toute consommation, d'autant qu'il a encore répété qu'il n'utilisait pas de drogue lors de l'arrestation du 23 mars 2023 (C-98). Même à considérer qu'il ne fallait pas le suivre, les éléments développés supra, en particulier, la vente de cocaïne le même soir ainsi que les faits du 15 décembre 2022, désormais établis, achèvent de convaincre de ce qu'il comptait monnayer le cannabis et exclut l'application de l'art. 19b LStup. 2.6.5. Les faits visés sous chiffre 1.2.c. de l'acte d'accusation sont établis et constitutifs de l'infraction à l'art. 19 al. 1 let. c et d LStup. L'appel sera rejeté sur ce point.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3.3.1. Quiconque, sans droit, consomme intentionnellement des stupéfiants est passible d’une amende (art. 19a al. 1 LStup). Dans les cas bénins, l’autorité compétente pourra suspendre la procédure ou renoncer à infliger une peine, une réprimande pouvant toutefois être prononcée (al. 2). 3.3.2. Pour dire s'il y a cas bénin, il faut prendre en compte l'ensemble des circonstances concrètes, objectives et subjectives (ATF 124 IV 45 consid. 2a ; 124 IV 186 consid. 3a ; 106 IV 78 ).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 124 IV 186 consid. 3). Il ne saurait ainsi être question d'un cas bénin quand quelqu'un consomme régulièrement du haschich et n'a pas l'intention de modifier son comportement (ATF 124 IV 55 consid. 2). 3.4.1. La faute de l'appelant n'est pas bénigne, ni même légère. Il s'en est pris violemment à un agent de police qui tentait de l'interpeller. Il a violé, à diverses reprises, les dispositions régissant le droit des étrangers, y compris à deux occasions, alors qu'il faisait l'objet d'une interdiction d'entrée, mesure qu'il ne pouvait pas ignorer. Il a participé activement au trafic de stupéfiants contre lequel les autorités pénales s'échinent à lutter. Dès lors, il a démontré par son comportement qu'il ne respecte pas les institutions suisses et représente un danger pour l'ordre public. La période pénale est certes relativement courte, mais l'activité a été soutenue. Le prévenu a été arrêté à quatre reprises dont l'ultime fois seulement 20 jours après sa précédente interpellation. Seule la détention provisoire a permis de mettre un terme à ses agissements. Son mobile relève de l'appât du gain facile et est égoïste. Sa situation personnelle précaire explique partiellement ses agissements, mais ne les justifie aucunement. Contrairement à ce qu'il plaide, sa collaboration a été globalement mauvaise. Il n'a pas cessé de varier quitte à présenter des versions fantaisistes et n'a admis que les actes qu'il ne pouvait pas contester puisqu'il avait été pris sur le fait. Les regrets évoqués et excuses présentées semblent ainsi opportunistes. La prise de conscience apparaît toutefois avoir légèrement débuté devant le premier juge concernant les infractions à la LEI puisque l'appelant a affirmé, pour la première fois, qu'il ne reviendrait plus en Suisse, suggérant qu'il a enfin compris qu'il n'était pas autorisé à soi-disant faire du tourisme. Tel n'est cependant pas le cas pour les autres infractions, dès lors qu'il persiste à nier des faits et à se montrer incohérent. L'absence d'antécédent est un facteur neutre. Il y a plusieurs infractions passibles du même type de peine, d'où le bénéfice du principe d'aggravation. Au vu du comportement de l'appelant ainsi que de sa situation personnelle nébuleuse, seule une peine privative de liberté peut sanctionner adéquatement ses actes. Une peine privative de liberté de huit mois apparaît justifiée, soit un mois et demi pour l'infraction à l'art. 285 CP, infraction objectivement la plus grave, aggravé d'un mois et demi par infraction à l'art. 19 al. 1 let. c et d LStup (peine théorique : trois mois par délit), d'un mois pour l'entrée illégale (peine théorique : deux mois) et d'un mois pour la violation de l'art. 119 LEI (peine théorique: un mois et demi). L'octroi du sursis, dont la durée du délai d'épreuve fixée par le premier juge est appropriée, est acquis à l'appelant (art. 391 al. 2 CPP). 3.1.5. Le cas bénin ne saurait être retenu en faveur de l'appelant dans la mesure où il alléguait être un important consommateur au quotidien de cannabis en décembre 2022 et qu'il ne conteste plus en appel les faits retenus par le premier juge, ni sa condamnation fondée essentiellement sur ses propres aveux. L'amende de CHF 100.-, dont la faible quotité n'est pas trop sévère, sera donc confirmée.</w:t>
      </w:r>
    </w:p>
    <w:p>
      <w:r>
        <w:rPr>
          <w:b/>
        </w:rPr>
        <w:t>E. 4</w:t>
      </w:r>
    </w:p>
    <w:p>
      <w:r>
        <w:t>4.1. Aux termes de l'art. 66a bis CP, le juge peut expulser un étranger du territoire suisse pour une durée de trois à 15 ans si, pour un crime ou un délit non visé à l’art. 66a CP, celui-ci a été condamné à une peine ou a fait l’objet d’une mesure. L'expulsion facultative prévue à l'art. 66a bis CP n'est pas conditionnée à une peine de durée minimale, le législateur ayant souhaité permettre au juge d'ordonner des expulsions en raison d'infractions de moindre gravité, en particulier pour les cas de délits, par exemple de vol répétés ou de " tourisme criminel " (arrêts du Tribunal fédéral 6B_40/2022 du 2 février 2023 consid. 2.1 et 6B_693/2020 du 18 janvier 2021 consid. 7.1.1). 4.2.1. Le prononcé d'une expulsion facultative doit respecter le principe de la proportionnalité ancré aux art. 5 al. 2 et 36 al. 2 et 3 de la Cst. Il convient ainsi d'examiner si l'intérêt public à l'expulsion l'emporte sur l'intérêt privé de la personne à demeurer en Suisse. Pour 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du Tribunal fédéral 6B_40/2022 du 2 février 2023 consid. 2.1). 4.2.2. Compte tenu des ravages de la drogue dans la population, les autorités sont fondées à faire preuve d'une grande fermeté à l'encontre de ceux qui contribuent à la propagation de ce fléau, ce qui rend importants les intérêts présidant à leur expulsion (arrêts CourEDH K.M. c. Suisse du 2 juin 2015 [requête no 6009/10] § 55 ; Dalia c. France du 19 février 1998, Recueil CourEDH 1998-I 76 § 54 ; arrêts du Tribunal fédéral 6B_1192/2018 du 23 janvier 2019 consid. 2.2.3 et 6B_1421/2019 du 12 février 2020 consid. 1.4.2).</w:t>
      </w:r>
    </w:p>
    <w:p>
      <w:r>
        <w:rPr>
          <w:b/>
        </w:rPr>
        <w:t>E. 4.3</w:t>
      </w:r>
    </w:p>
    <w:p>
      <w:r>
        <w:t>L'appelant n'a certes pas d'antécédent en Suisse à teneur de son casier judiciaire, mais il a tout de même occupé les forces de police à quatre reprises en l'espace de quatre mois, dont deux fois à seulement 20 jours d'intervalle, jusqu'à son placement en détention provisoire. Comme développé ci-dessus (cf. 3.1.4.), sa faute est non négligeable. Il a montré par ses agissements qu'il méprisait l'ordre juridique suisse ainsi que ses représentants. Il s'est de plus rendu coupable à plusieurs reprises d'infractions contre la LStup, ce qui, conformément à la jurisprudence rappelée supra, d'une part, fonde les autorités à se montrer fermes et, d'autre part, rend important l'intérêt public à son expulsion.</w:t>
      </w:r>
    </w:p>
    <w:p>
      <w:r>
        <w:rPr>
          <w:b/>
        </w:rPr>
        <w:t>E. 4.4</w:t>
      </w:r>
    </w:p>
    <w:p>
      <w:r>
        <w:t>Par ailleurs, il n'a aucun intérêt à demeurer en Suisse, ni même à y voyager. Il est arrivé sur le territoire au plus tôt courant 2021 (mais plus probablement en 2022), sans droit. Il n'a pas habité, ni travaillé sur le territoire. Il n'a jamais bénéficié d'une autorisation d'entrée ou de séjour. Aucun membre de sa famille n'y réside, et les quelques amis qu'il prétend avoir, sans le démontrer, ne suffisent pas à établir un intérêt à se rendre dans le pays. Enfin, il a expliqué devant le TP avoir compris ses erreurs, souhaiter rejoindre sa famille en France et ne plus jamais revenir, ce qui suggère, malgré son appel sur ce point, qu'il ne s'oppose en réalité pas à la mesure.</w:t>
      </w:r>
    </w:p>
    <w:p>
      <w:r>
        <w:rPr>
          <w:b/>
        </w:rPr>
        <w:t>E. 4.5</w:t>
      </w:r>
    </w:p>
    <w:p>
      <w:r>
        <w:t>Vu les supposés liens de l'appelant avec la France, il sera toutefois renoncé, à l'instar de ce qu'avait décidé le premier juge, au signalement de l'expulsion dans le SIS.</w:t>
      </w:r>
    </w:p>
    <w:p>
      <w:r>
        <w:rPr>
          <w:b/>
        </w:rPr>
        <w:t>E. 5</w:t>
      </w:r>
    </w:p>
    <w:p>
      <w:r>
        <w:t>L'appelant, qui succombe, supportera l'intégralité des frais de la procédure envers l'État, y compris un émolument d'arrêt de CHF 1'200.- (art. 428 CPP). Vu l'issue de la procédure d'appel, il n'y a pas lieu de revoir la répartition des frais de la procédure préliminaire et de première instance.</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 chef d'étude CHF 200.- (débours inclus)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Il en va de même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Le temps consacré par le défenseur d'office à l'étude du dossier et la rédaction du mémoire d'appel sera ramené à quatre heures dans la mesure où l'affaire ne présente pas de difficulté particulière et qu'il l'a suivie depuis ses débuts. Sa rémunération sera arrêtée à CHF 1'303.20 correspondant à cinq heures et 30 minutes d'activité au tarif de CHF 200.-/heure (CHF 1'100.-), plus la majoration forfaitaire de 10% (vu l'activité déjà indemnisée) (CHF 110.-) et l'équivalent de la TVA aux taux de 7.7% (CHF 93.20).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